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06620F" w:rsidRDefault="0006620F">
      <w:pPr>
        <w:tabs>
          <w:tab w:val="left" w:pos="2160"/>
        </w:tabs>
        <w:rPr>
          <w:rFonts w:cs="Arial"/>
          <w:b/>
          <w:bCs/>
          <w:sz w:val="32"/>
          <w:u w:val="single"/>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6B2D6C">
        <w:rPr>
          <w:rFonts w:cs="Arial"/>
          <w:b/>
          <w:bCs/>
        </w:rPr>
        <w:t xml:space="preserve">11 </w:t>
      </w:r>
      <w:r w:rsidR="00D47E52">
        <w:rPr>
          <w:rFonts w:cs="Arial"/>
          <w:b/>
          <w:bCs/>
        </w:rPr>
        <w:t>February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06620F">
      <w:pPr>
        <w:ind w:left="2127" w:hanging="2127"/>
        <w:rPr>
          <w:rFonts w:cs="Arial"/>
          <w:b/>
          <w:bCs/>
        </w:rPr>
      </w:pPr>
      <w:r>
        <w:rPr>
          <w:rFonts w:cs="Arial"/>
          <w:b/>
          <w:bCs/>
        </w:rPr>
        <w:t>Report of:</w:t>
      </w:r>
      <w:r w:rsidR="0006620F">
        <w:rPr>
          <w:rFonts w:cs="Arial"/>
          <w:b/>
          <w:bCs/>
        </w:rPr>
        <w:tab/>
      </w:r>
      <w:r w:rsidR="001A6A55">
        <w:rPr>
          <w:rFonts w:cs="Arial"/>
          <w:b/>
          <w:bCs/>
        </w:rPr>
        <w:t>Head of Community Services</w:t>
      </w:r>
      <w:bookmarkStart w:id="0" w:name="_GoBack"/>
      <w:bookmarkEnd w:id="0"/>
    </w:p>
    <w:p w:rsidR="00F4367A" w:rsidRDefault="00F4367A">
      <w:pPr>
        <w:tabs>
          <w:tab w:val="left" w:pos="2160"/>
        </w:tabs>
        <w:rPr>
          <w:rFonts w:cs="Arial"/>
          <w:b/>
          <w:bCs/>
        </w:rPr>
      </w:pPr>
    </w:p>
    <w:p w:rsidR="00F4367A" w:rsidRDefault="00F4367A">
      <w:pPr>
        <w:tabs>
          <w:tab w:val="left" w:pos="2160"/>
        </w:tabs>
        <w:rPr>
          <w:b/>
          <w:lang w:eastAsia="en-GB"/>
        </w:rPr>
      </w:pPr>
      <w:r>
        <w:rPr>
          <w:rFonts w:cs="Arial"/>
          <w:b/>
          <w:bCs/>
        </w:rPr>
        <w:t>Title of Report:</w:t>
      </w:r>
      <w:r>
        <w:rPr>
          <w:rFonts w:cs="Arial"/>
          <w:b/>
          <w:bCs/>
        </w:rPr>
        <w:tab/>
      </w:r>
      <w:r w:rsidR="00D47E52" w:rsidRPr="006B2D6C">
        <w:rPr>
          <w:b/>
          <w:lang w:eastAsia="en-GB"/>
        </w:rPr>
        <w:t>Energy</w:t>
      </w:r>
      <w:r w:rsidR="006B2D6C">
        <w:rPr>
          <w:b/>
          <w:lang w:eastAsia="en-GB"/>
        </w:rPr>
        <w:t xml:space="preserve"> </w:t>
      </w:r>
      <w:r w:rsidR="00D47E52" w:rsidRPr="006B2D6C">
        <w:rPr>
          <w:b/>
          <w:lang w:eastAsia="en-GB"/>
        </w:rPr>
        <w:t>&amp;</w:t>
      </w:r>
      <w:r w:rsidR="006B2D6C">
        <w:rPr>
          <w:b/>
          <w:lang w:eastAsia="en-GB"/>
        </w:rPr>
        <w:t xml:space="preserve"> </w:t>
      </w:r>
      <w:r w:rsidR="00D47E52" w:rsidRPr="006B2D6C">
        <w:rPr>
          <w:b/>
          <w:lang w:eastAsia="en-GB"/>
        </w:rPr>
        <w:t xml:space="preserve">Water Supply </w:t>
      </w:r>
      <w:r w:rsidR="00006104">
        <w:rPr>
          <w:b/>
          <w:lang w:eastAsia="en-GB"/>
        </w:rPr>
        <w:t xml:space="preserve">Procurement </w:t>
      </w:r>
      <w:r w:rsidR="00D47E52" w:rsidRPr="006B2D6C">
        <w:rPr>
          <w:b/>
          <w:lang w:eastAsia="en-GB"/>
        </w:rPr>
        <w:t xml:space="preserve">2016 </w:t>
      </w:r>
      <w:r w:rsidR="000D6D27">
        <w:rPr>
          <w:b/>
          <w:lang w:eastAsia="en-GB"/>
        </w:rPr>
        <w:t>–</w:t>
      </w:r>
      <w:r w:rsidR="00D47E52" w:rsidRPr="006B2D6C">
        <w:rPr>
          <w:b/>
          <w:lang w:eastAsia="en-GB"/>
        </w:rPr>
        <w:t xml:space="preserve"> 2020</w:t>
      </w:r>
    </w:p>
    <w:p w:rsidR="000D6D27" w:rsidRDefault="000D6D27">
      <w:pPr>
        <w:tabs>
          <w:tab w:val="left" w:pos="2160"/>
        </w:tabs>
        <w:rPr>
          <w:rFonts w:cs="Arial"/>
          <w:b/>
          <w:bCs/>
        </w:rPr>
      </w:pPr>
    </w:p>
    <w:p w:rsidR="00F4367A" w:rsidRPr="00F80174" w:rsidRDefault="00F4367A">
      <w:pPr>
        <w:pStyle w:val="Heading1"/>
        <w:pBdr>
          <w:top w:val="single" w:sz="4" w:space="1" w:color="auto"/>
          <w:left w:val="single" w:sz="4" w:space="4" w:color="auto"/>
          <w:bottom w:val="single" w:sz="4" w:space="1" w:color="auto"/>
          <w:right w:val="single" w:sz="4" w:space="4" w:color="auto"/>
        </w:pBdr>
        <w:jc w:val="center"/>
      </w:pPr>
      <w:r w:rsidRPr="00F80174">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F80174" w:rsidRDefault="00F4367A">
      <w:pPr>
        <w:pBdr>
          <w:top w:val="single" w:sz="4" w:space="1" w:color="auto"/>
          <w:left w:val="single" w:sz="4" w:space="4" w:color="auto"/>
          <w:bottom w:val="single" w:sz="4" w:space="1" w:color="auto"/>
          <w:right w:val="single" w:sz="4" w:space="4" w:color="auto"/>
        </w:pBdr>
        <w:rPr>
          <w:rFonts w:cs="Arial"/>
        </w:rPr>
      </w:pPr>
      <w:r w:rsidRPr="008A5DE8">
        <w:rPr>
          <w:rFonts w:cs="Arial"/>
          <w:b/>
          <w:bCs/>
        </w:rPr>
        <w:t>Purpose of report</w:t>
      </w:r>
      <w:r w:rsidRPr="008A5DE8">
        <w:rPr>
          <w:rFonts w:cs="Arial"/>
          <w:b/>
        </w:rPr>
        <w:t xml:space="preserve">: </w:t>
      </w:r>
      <w:r w:rsidR="00D47E52" w:rsidRPr="00F80174">
        <w:rPr>
          <w:rFonts w:cs="Arial"/>
        </w:rPr>
        <w:t xml:space="preserve"> To</w:t>
      </w:r>
      <w:r w:rsidR="003A2B76" w:rsidRPr="00F80174">
        <w:rPr>
          <w:rFonts w:cs="Arial"/>
        </w:rPr>
        <w:t xml:space="preserve"> </w:t>
      </w:r>
      <w:r w:rsidR="00735A4F" w:rsidRPr="00F80174">
        <w:rPr>
          <w:rFonts w:cs="Arial"/>
        </w:rPr>
        <w:t>seek approval for the approach to the procurement of energy and water for the period 1 October 2016 to 30 September 2020</w:t>
      </w:r>
      <w:r w:rsidR="008E6CB0" w:rsidRPr="00F80174">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06620F"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06620F">
        <w:rPr>
          <w:bCs w:val="0"/>
        </w:rPr>
        <w:t>:</w:t>
      </w:r>
      <w:r>
        <w:rPr>
          <w:bCs w:val="0"/>
        </w:rPr>
        <w:t xml:space="preserve"> </w:t>
      </w:r>
      <w:r w:rsidR="006B2D6C" w:rsidRPr="00F80174">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6B2D6C" w:rsidRPr="00F80174">
        <w:rPr>
          <w:rFonts w:cs="Arial"/>
          <w:bCs/>
        </w:rPr>
        <w:t>Councillor John Tanner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6B2D6C" w:rsidRPr="00F80174">
        <w:rPr>
          <w:rFonts w:cs="Arial"/>
          <w:bCs/>
        </w:rPr>
        <w:t>An efficient and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6B2D6C"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06620F">
        <w:rPr>
          <w:rFonts w:cs="Arial"/>
          <w:b/>
        </w:rPr>
        <w:t>s</w:t>
      </w:r>
      <w:r>
        <w:rPr>
          <w:rFonts w:cs="Arial"/>
          <w:b/>
        </w:rPr>
        <w:t xml:space="preserve">: </w:t>
      </w:r>
      <w:r w:rsidR="00F80174">
        <w:rPr>
          <w:rFonts w:cs="Arial"/>
          <w:b/>
        </w:rPr>
        <w:t>That the City Executive Board resolves to:</w:t>
      </w:r>
    </w:p>
    <w:p w:rsidR="0006620F" w:rsidRPr="008A5DE8" w:rsidRDefault="0006620F"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r w:rsidRPr="008A5DE8">
        <w:rPr>
          <w:rFonts w:cs="Arial"/>
        </w:rPr>
        <w:t>approv</w:t>
      </w:r>
      <w:r w:rsidR="00F80174" w:rsidRPr="008A5DE8">
        <w:rPr>
          <w:rFonts w:cs="Arial"/>
        </w:rPr>
        <w:t>e the use of</w:t>
      </w:r>
      <w:r w:rsidRPr="008A5DE8">
        <w:rPr>
          <w:rFonts w:cs="Arial"/>
        </w:rPr>
        <w:t xml:space="preserve"> </w:t>
      </w:r>
      <w:r w:rsidR="00D926C6" w:rsidRPr="008A5DE8">
        <w:rPr>
          <w:rFonts w:cs="Arial"/>
        </w:rPr>
        <w:t xml:space="preserve">the Kent County Council energy procurement framework via its trading arm </w:t>
      </w:r>
      <w:r w:rsidRPr="008A5DE8">
        <w:rPr>
          <w:rFonts w:cs="Arial"/>
        </w:rPr>
        <w:t>LASER (the specialist public sector energy buying organisation) for a further four years (2016-2020) to procur</w:t>
      </w:r>
      <w:r w:rsidR="0065403A" w:rsidRPr="008A5DE8">
        <w:rPr>
          <w:rFonts w:cs="Arial"/>
        </w:rPr>
        <w:t>e the Council’s e</w:t>
      </w:r>
      <w:r w:rsidRPr="008A5DE8">
        <w:rPr>
          <w:rFonts w:cs="Arial"/>
        </w:rPr>
        <w:t xml:space="preserve">nergy contracts from October 2016 and </w:t>
      </w:r>
      <w:r w:rsidR="0065403A" w:rsidRPr="008A5DE8">
        <w:rPr>
          <w:rFonts w:cs="Arial"/>
        </w:rPr>
        <w:t>w</w:t>
      </w:r>
      <w:r w:rsidRPr="008A5DE8">
        <w:rPr>
          <w:rFonts w:cs="Arial"/>
        </w:rPr>
        <w:t>ater contracts from April 2017;</w:t>
      </w:r>
    </w:p>
    <w:p w:rsidR="00F80174" w:rsidRPr="00F80174" w:rsidRDefault="00F80174" w:rsidP="0006620F">
      <w:pPr>
        <w:pBdr>
          <w:top w:val="single" w:sz="4" w:space="1" w:color="auto"/>
          <w:left w:val="single" w:sz="4" w:space="4" w:color="auto"/>
          <w:bottom w:val="single" w:sz="4" w:space="1" w:color="auto"/>
          <w:right w:val="single" w:sz="4" w:space="4" w:color="auto"/>
        </w:pBdr>
        <w:tabs>
          <w:tab w:val="left" w:pos="3048"/>
        </w:tabs>
        <w:rPr>
          <w:rFonts w:cs="Arial"/>
        </w:rPr>
      </w:pPr>
    </w:p>
    <w:p w:rsidR="0065403A" w:rsidRPr="008A5DE8" w:rsidRDefault="0006620F"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r w:rsidRPr="008A5DE8">
        <w:rPr>
          <w:rFonts w:cs="Arial"/>
        </w:rPr>
        <w:t>approv</w:t>
      </w:r>
      <w:r w:rsidR="00F80174" w:rsidRPr="008A5DE8">
        <w:rPr>
          <w:rFonts w:cs="Arial"/>
        </w:rPr>
        <w:t>e</w:t>
      </w:r>
      <w:r w:rsidRPr="008A5DE8">
        <w:rPr>
          <w:rFonts w:cs="Arial"/>
        </w:rPr>
        <w:t xml:space="preserve"> the continuation of the energy purchasing approach of</w:t>
      </w:r>
      <w:r w:rsidR="0065403A" w:rsidRPr="008A5DE8">
        <w:rPr>
          <w:rFonts w:cs="Arial"/>
        </w:rPr>
        <w:t>:</w:t>
      </w:r>
    </w:p>
    <w:p w:rsidR="0065403A" w:rsidRPr="00F80174" w:rsidRDefault="008A5DE8" w:rsidP="008A5DE8">
      <w:pPr>
        <w:pBdr>
          <w:top w:val="single" w:sz="4" w:space="1" w:color="auto"/>
          <w:left w:val="single" w:sz="4" w:space="4" w:color="auto"/>
          <w:bottom w:val="single" w:sz="4" w:space="1" w:color="auto"/>
          <w:right w:val="single" w:sz="4" w:space="4" w:color="auto"/>
        </w:pBdr>
        <w:tabs>
          <w:tab w:val="left" w:pos="3048"/>
        </w:tabs>
        <w:ind w:left="426" w:hanging="426"/>
        <w:rPr>
          <w:rFonts w:cs="Arial"/>
        </w:rPr>
      </w:pPr>
      <w:r>
        <w:rPr>
          <w:rFonts w:cs="Arial"/>
        </w:rPr>
        <w:t xml:space="preserve">      </w:t>
      </w:r>
      <w:r w:rsidR="0065403A" w:rsidRPr="00F80174">
        <w:rPr>
          <w:rFonts w:cs="Arial"/>
        </w:rPr>
        <w:t xml:space="preserve">- </w:t>
      </w:r>
      <w:proofErr w:type="gramStart"/>
      <w:r w:rsidR="0006620F" w:rsidRPr="00F80174">
        <w:rPr>
          <w:rFonts w:cs="Arial"/>
        </w:rPr>
        <w:t>a</w:t>
      </w:r>
      <w:proofErr w:type="gramEnd"/>
      <w:r w:rsidR="0006620F" w:rsidRPr="00F80174">
        <w:rPr>
          <w:rFonts w:cs="Arial"/>
        </w:rPr>
        <w:t xml:space="preserve"> flexible contract for larger electricity and gas supplies </w:t>
      </w:r>
    </w:p>
    <w:p w:rsidR="0006620F" w:rsidRDefault="008A5DE8" w:rsidP="008A5DE8">
      <w:pPr>
        <w:pBdr>
          <w:top w:val="single" w:sz="4" w:space="1" w:color="auto"/>
          <w:left w:val="single" w:sz="4" w:space="4" w:color="auto"/>
          <w:bottom w:val="single" w:sz="4" w:space="1" w:color="auto"/>
          <w:right w:val="single" w:sz="4" w:space="4" w:color="auto"/>
        </w:pBdr>
        <w:tabs>
          <w:tab w:val="left" w:pos="3048"/>
        </w:tabs>
        <w:ind w:left="426" w:hanging="426"/>
        <w:rPr>
          <w:rFonts w:cs="Arial"/>
        </w:rPr>
      </w:pPr>
      <w:r>
        <w:rPr>
          <w:rFonts w:cs="Arial"/>
        </w:rPr>
        <w:t xml:space="preserve">      </w:t>
      </w:r>
      <w:r w:rsidR="0065403A" w:rsidRPr="00F80174">
        <w:rPr>
          <w:rFonts w:cs="Arial"/>
        </w:rPr>
        <w:t xml:space="preserve">- </w:t>
      </w:r>
      <w:proofErr w:type="gramStart"/>
      <w:r w:rsidR="0006620F" w:rsidRPr="00F80174">
        <w:rPr>
          <w:rFonts w:cs="Arial"/>
        </w:rPr>
        <w:t>a</w:t>
      </w:r>
      <w:proofErr w:type="gramEnd"/>
      <w:r w:rsidR="0006620F" w:rsidRPr="00F80174">
        <w:rPr>
          <w:rFonts w:cs="Arial"/>
        </w:rPr>
        <w:t xml:space="preserve"> fixed term fixed price contract for smaller quarterly billed supplies;</w:t>
      </w:r>
    </w:p>
    <w:p w:rsidR="00F80174" w:rsidRPr="00F80174" w:rsidRDefault="00F80174" w:rsidP="0006620F">
      <w:pPr>
        <w:pBdr>
          <w:top w:val="single" w:sz="4" w:space="1" w:color="auto"/>
          <w:left w:val="single" w:sz="4" w:space="4" w:color="auto"/>
          <w:bottom w:val="single" w:sz="4" w:space="1" w:color="auto"/>
          <w:right w:val="single" w:sz="4" w:space="4" w:color="auto"/>
        </w:pBdr>
        <w:tabs>
          <w:tab w:val="left" w:pos="3048"/>
        </w:tabs>
        <w:rPr>
          <w:rFonts w:cs="Arial"/>
        </w:rPr>
      </w:pPr>
    </w:p>
    <w:p w:rsidR="00F4367A" w:rsidRPr="008A5DE8" w:rsidRDefault="0006620F"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proofErr w:type="gramStart"/>
      <w:r w:rsidRPr="008A5DE8">
        <w:rPr>
          <w:rFonts w:cs="Arial"/>
        </w:rPr>
        <w:t>delegate</w:t>
      </w:r>
      <w:proofErr w:type="gramEnd"/>
      <w:r w:rsidRPr="008A5DE8">
        <w:rPr>
          <w:rFonts w:cs="Arial"/>
        </w:rPr>
        <w:t xml:space="preserve"> authority to the Director of Community Services in consultation with </w:t>
      </w:r>
      <w:r w:rsidR="002B21DD" w:rsidRPr="008A5DE8">
        <w:rPr>
          <w:rFonts w:cs="Arial"/>
        </w:rPr>
        <w:t xml:space="preserve">the Head of </w:t>
      </w:r>
      <w:r w:rsidRPr="008A5DE8">
        <w:rPr>
          <w:rFonts w:cs="Arial"/>
        </w:rPr>
        <w:t>Financ</w:t>
      </w:r>
      <w:r w:rsidR="00254BA9" w:rsidRPr="008A5DE8">
        <w:rPr>
          <w:rFonts w:cs="Arial"/>
        </w:rPr>
        <w:t>ial Services</w:t>
      </w:r>
      <w:r w:rsidRPr="008A5DE8">
        <w:rPr>
          <w:rFonts w:cs="Arial"/>
        </w:rPr>
        <w:t xml:space="preserve"> to select the most appropriate ‘flexible energy contract basket’ option.</w:t>
      </w:r>
    </w:p>
    <w:p w:rsidR="002E7B99" w:rsidRDefault="002E7B99">
      <w:pPr>
        <w:pBdr>
          <w:top w:val="single" w:sz="4" w:space="1" w:color="auto"/>
          <w:left w:val="single" w:sz="4" w:space="4" w:color="auto"/>
          <w:bottom w:val="single" w:sz="4" w:space="1" w:color="auto"/>
          <w:right w:val="single" w:sz="4" w:space="4" w:color="auto"/>
        </w:pBdr>
        <w:tabs>
          <w:tab w:val="left" w:pos="3048"/>
        </w:tabs>
        <w:rPr>
          <w:rFonts w:cs="Arial"/>
        </w:rPr>
      </w:pPr>
    </w:p>
    <w:p w:rsidR="002E7B99" w:rsidRPr="008A5DE8" w:rsidRDefault="002E7B99"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proofErr w:type="gramStart"/>
      <w:r w:rsidRPr="008A5DE8">
        <w:rPr>
          <w:rFonts w:cs="Arial"/>
        </w:rPr>
        <w:t>approve</w:t>
      </w:r>
      <w:proofErr w:type="gramEnd"/>
      <w:r w:rsidRPr="008A5DE8">
        <w:rPr>
          <w:rFonts w:cs="Arial"/>
        </w:rPr>
        <w:t xml:space="preserve"> that</w:t>
      </w:r>
      <w:r w:rsidR="000D6D27" w:rsidRPr="008A5DE8">
        <w:rPr>
          <w:rFonts w:cs="Arial"/>
        </w:rPr>
        <w:t>,</w:t>
      </w:r>
      <w:r w:rsidRPr="008A5DE8">
        <w:rPr>
          <w:rFonts w:cs="Arial"/>
        </w:rPr>
        <w:t xml:space="preserve"> as part of the annual budget setting process</w:t>
      </w:r>
      <w:r w:rsidR="000D6D27" w:rsidRPr="008A5DE8">
        <w:rPr>
          <w:rFonts w:cs="Arial"/>
        </w:rPr>
        <w:t>,</w:t>
      </w:r>
      <w:r w:rsidRPr="008A5DE8">
        <w:rPr>
          <w:rFonts w:cs="Arial"/>
        </w:rPr>
        <w:t xml:space="preserve"> the Lead Member will determine the proportion of renewable energy purchased under the contract each year in consultation with the Head of Financial Services (S151 Officer) and Director of Community Services.</w:t>
      </w:r>
    </w:p>
    <w:p w:rsidR="00F80174" w:rsidRDefault="00F80174">
      <w:pPr>
        <w:rPr>
          <w:rFonts w:cs="Arial"/>
          <w:b/>
        </w:rPr>
      </w:pPr>
    </w:p>
    <w:p w:rsidR="00713675" w:rsidRDefault="00713675">
      <w:pPr>
        <w:rPr>
          <w:rFonts w:cs="Arial"/>
        </w:rPr>
      </w:pPr>
      <w:r w:rsidRPr="007B6E54">
        <w:rPr>
          <w:rFonts w:cs="Arial"/>
          <w:b/>
        </w:rPr>
        <w:t>Appendices</w:t>
      </w:r>
      <w:r w:rsidR="0006620F">
        <w:rPr>
          <w:rFonts w:cs="Arial"/>
          <w:b/>
        </w:rPr>
        <w:t>:</w:t>
      </w:r>
      <w:r>
        <w:rPr>
          <w:rFonts w:cs="Arial"/>
        </w:rPr>
        <w:t xml:space="preserve"> </w:t>
      </w:r>
    </w:p>
    <w:p w:rsidR="007C0F5E" w:rsidRPr="0006620F" w:rsidRDefault="007C0F5E" w:rsidP="007C0F5E">
      <w:pPr>
        <w:rPr>
          <w:rFonts w:cs="Arial"/>
        </w:rPr>
      </w:pPr>
      <w:r w:rsidRPr="0006620F">
        <w:rPr>
          <w:rFonts w:cs="Arial"/>
        </w:rPr>
        <w:t xml:space="preserve">Appendix 1: </w:t>
      </w:r>
      <w:r w:rsidR="004A50CF">
        <w:rPr>
          <w:rFonts w:cs="Arial"/>
        </w:rPr>
        <w:t>Laser</w:t>
      </w:r>
      <w:r w:rsidR="003279AF">
        <w:rPr>
          <w:rFonts w:cs="Arial"/>
        </w:rPr>
        <w:t xml:space="preserve"> market</w:t>
      </w:r>
      <w:r w:rsidR="004A50CF">
        <w:rPr>
          <w:rFonts w:cs="Arial"/>
        </w:rPr>
        <w:t xml:space="preserve"> performance</w:t>
      </w:r>
    </w:p>
    <w:p w:rsidR="00713675" w:rsidRDefault="007B6E54">
      <w:pPr>
        <w:rPr>
          <w:rFonts w:cs="Arial"/>
        </w:rPr>
      </w:pPr>
      <w:r>
        <w:rPr>
          <w:rFonts w:cs="Arial"/>
        </w:rPr>
        <w:t xml:space="preserve">Appendix </w:t>
      </w:r>
      <w:r w:rsidR="007C0F5E">
        <w:rPr>
          <w:rFonts w:cs="Arial"/>
        </w:rPr>
        <w:t>2</w:t>
      </w:r>
      <w:r w:rsidR="004A50CF">
        <w:rPr>
          <w:rFonts w:cs="Arial"/>
        </w:rPr>
        <w:t xml:space="preserve">: </w:t>
      </w:r>
      <w:r>
        <w:rPr>
          <w:rFonts w:cs="Arial"/>
        </w:rPr>
        <w:t xml:space="preserve"> Risk Register</w:t>
      </w:r>
    </w:p>
    <w:p w:rsidR="007B6E54" w:rsidRDefault="007B6E54">
      <w:pPr>
        <w:rPr>
          <w:rFonts w:cs="Arial"/>
          <w:b/>
        </w:rPr>
      </w:pPr>
      <w:r>
        <w:rPr>
          <w:rFonts w:cs="Arial"/>
          <w:b/>
        </w:rPr>
        <w:t>Background</w:t>
      </w:r>
    </w:p>
    <w:p w:rsidR="00620164" w:rsidRPr="00620164" w:rsidRDefault="00620164" w:rsidP="00620164">
      <w:pPr>
        <w:pStyle w:val="ListParagraph"/>
        <w:numPr>
          <w:ilvl w:val="0"/>
          <w:numId w:val="8"/>
        </w:numPr>
      </w:pPr>
      <w:r w:rsidRPr="00620164">
        <w:lastRenderedPageBreak/>
        <w:t>The</w:t>
      </w:r>
      <w:r>
        <w:t xml:space="preserve"> Council’s</w:t>
      </w:r>
      <w:r w:rsidRPr="00620164">
        <w:t xml:space="preserve"> current energy purchasing arrangements</w:t>
      </w:r>
      <w:r w:rsidR="0065403A">
        <w:t xml:space="preserve"> </w:t>
      </w:r>
      <w:r w:rsidRPr="00620164">
        <w:t xml:space="preserve">using the Public Buying Organisation (PBO) LASER as a </w:t>
      </w:r>
      <w:r w:rsidR="008E6CB0">
        <w:t xml:space="preserve">specialist </w:t>
      </w:r>
      <w:r w:rsidRPr="00620164">
        <w:t>energy p</w:t>
      </w:r>
      <w:r w:rsidR="0065403A">
        <w:t>urchasing</w:t>
      </w:r>
      <w:r w:rsidRPr="00620164">
        <w:t xml:space="preserve"> agent</w:t>
      </w:r>
      <w:r w:rsidR="00D1108A">
        <w:t xml:space="preserve"> were </w:t>
      </w:r>
      <w:r w:rsidRPr="00620164">
        <w:t xml:space="preserve">agreed </w:t>
      </w:r>
      <w:r w:rsidR="005A0960">
        <w:t>at</w:t>
      </w:r>
      <w:r w:rsidRPr="00620164">
        <w:t xml:space="preserve"> CEB </w:t>
      </w:r>
      <w:r w:rsidR="005A0960">
        <w:t xml:space="preserve">in </w:t>
      </w:r>
      <w:r w:rsidRPr="00620164">
        <w:t>June 2011</w:t>
      </w:r>
      <w:r w:rsidR="00D1108A">
        <w:t xml:space="preserve">. This </w:t>
      </w:r>
      <w:r w:rsidRPr="00620164">
        <w:t>cover</w:t>
      </w:r>
      <w:r w:rsidR="00724A47">
        <w:t>ed</w:t>
      </w:r>
      <w:r w:rsidRPr="00620164">
        <w:t xml:space="preserve"> the period 1 Oct</w:t>
      </w:r>
      <w:r w:rsidR="0065403A">
        <w:t>ober</w:t>
      </w:r>
      <w:r w:rsidRPr="00620164">
        <w:t xml:space="preserve"> 2012 to 30 Sep</w:t>
      </w:r>
      <w:r w:rsidR="0065403A">
        <w:t>tember</w:t>
      </w:r>
      <w:r w:rsidRPr="00620164">
        <w:t xml:space="preserve"> 2016. </w:t>
      </w:r>
      <w:r w:rsidR="00DF0E00">
        <w:t>This report reviews past LASER perform</w:t>
      </w:r>
      <w:r w:rsidR="00E35B7C">
        <w:t>ance</w:t>
      </w:r>
      <w:r w:rsidR="0065403A">
        <w:t xml:space="preserve"> over the last four years</w:t>
      </w:r>
      <w:r w:rsidR="00DF0E00">
        <w:t xml:space="preserve"> and makes recommendations for the energy (and water from April 2017) purchasing approach for the new framework period 1 Oct</w:t>
      </w:r>
      <w:r w:rsidR="0065403A">
        <w:t>ober</w:t>
      </w:r>
      <w:r w:rsidR="00DF0E00">
        <w:t xml:space="preserve"> 2016 to 30 Sep</w:t>
      </w:r>
      <w:r w:rsidR="0065403A">
        <w:t>tember</w:t>
      </w:r>
      <w:r w:rsidR="00DF0E00">
        <w:t xml:space="preserve"> 2020.</w:t>
      </w:r>
    </w:p>
    <w:p w:rsidR="00620164" w:rsidRPr="00620164" w:rsidRDefault="00620164" w:rsidP="00620164"/>
    <w:p w:rsidR="00620164" w:rsidRPr="00620164" w:rsidRDefault="00620164" w:rsidP="00620164">
      <w:pPr>
        <w:pStyle w:val="ListParagraph"/>
        <w:numPr>
          <w:ilvl w:val="0"/>
          <w:numId w:val="8"/>
        </w:numPr>
      </w:pPr>
      <w:r w:rsidRPr="00620164">
        <w:t xml:space="preserve">LASER has </w:t>
      </w:r>
      <w:r w:rsidR="0065403A">
        <w:t>been used by the C</w:t>
      </w:r>
      <w:r w:rsidRPr="00620164">
        <w:t xml:space="preserve">ouncil as </w:t>
      </w:r>
      <w:r w:rsidR="0065403A">
        <w:t>its</w:t>
      </w:r>
      <w:r w:rsidRPr="00620164">
        <w:t xml:space="preserve"> main energy purchasing agent for a number of years and</w:t>
      </w:r>
      <w:r w:rsidR="0065403A">
        <w:t xml:space="preserve"> LASER</w:t>
      </w:r>
      <w:r w:rsidRPr="00620164">
        <w:t xml:space="preserve"> has continued to perform well both in terms of returned prices and overall service offering. </w:t>
      </w:r>
    </w:p>
    <w:p w:rsidR="00620164" w:rsidRPr="00620164" w:rsidRDefault="00620164" w:rsidP="00620164"/>
    <w:p w:rsidR="0065403A" w:rsidRDefault="00620164" w:rsidP="00620164">
      <w:pPr>
        <w:pStyle w:val="ListParagraph"/>
        <w:numPr>
          <w:ilvl w:val="0"/>
          <w:numId w:val="8"/>
        </w:numPr>
      </w:pPr>
      <w:r w:rsidRPr="00620164">
        <w:t xml:space="preserve">Energy is currently purchased through </w:t>
      </w:r>
      <w:r w:rsidR="002628FC">
        <w:t>a</w:t>
      </w:r>
      <w:r w:rsidR="0065403A">
        <w:t xml:space="preserve"> Flexible P</w:t>
      </w:r>
      <w:r w:rsidRPr="00620164">
        <w:t>rocurement approach for the Council’s larger electricity and gas consuming sites.</w:t>
      </w:r>
      <w:r w:rsidR="002628FC">
        <w:t xml:space="preserve"> </w:t>
      </w:r>
      <w:r w:rsidRPr="00620164">
        <w:t>This</w:t>
      </w:r>
      <w:r w:rsidR="0065403A">
        <w:t xml:space="preserve"> follows the</w:t>
      </w:r>
      <w:r>
        <w:t xml:space="preserve"> best practice approach as outlined </w:t>
      </w:r>
      <w:r w:rsidR="0065403A">
        <w:t xml:space="preserve">by the Cabinet Office </w:t>
      </w:r>
      <w:r>
        <w:t>in the</w:t>
      </w:r>
      <w:r w:rsidR="0065403A">
        <w:t xml:space="preserve"> Pan-Government Energy Project which </w:t>
      </w:r>
      <w:r>
        <w:t>recommend</w:t>
      </w:r>
      <w:r w:rsidR="0065403A">
        <w:t>s</w:t>
      </w:r>
      <w:r>
        <w:t xml:space="preserve"> that </w:t>
      </w:r>
      <w:r w:rsidR="00F5103B">
        <w:t xml:space="preserve">all </w:t>
      </w:r>
      <w:r>
        <w:t xml:space="preserve">public sector organisations </w:t>
      </w:r>
      <w:r w:rsidR="00F5103B">
        <w:t xml:space="preserve">should adopt </w:t>
      </w:r>
      <w:r>
        <w:t xml:space="preserve">aggregated, flexible and risk-managed </w:t>
      </w:r>
      <w:r w:rsidR="00F5103B">
        <w:t>energy procurement</w:t>
      </w:r>
      <w:r w:rsidR="00636776">
        <w:t xml:space="preserve"> to manage</w:t>
      </w:r>
      <w:r w:rsidR="0065403A">
        <w:t xml:space="preserve"> the</w:t>
      </w:r>
      <w:r w:rsidR="00636776">
        <w:t xml:space="preserve"> risk</w:t>
      </w:r>
      <w:r w:rsidR="0065403A">
        <w:t xml:space="preserve"> of a</w:t>
      </w:r>
      <w:r w:rsidR="00636776">
        <w:t xml:space="preserve"> volatile energy market</w:t>
      </w:r>
      <w:r w:rsidR="002628FC">
        <w:t xml:space="preserve">. </w:t>
      </w:r>
    </w:p>
    <w:p w:rsidR="0065403A" w:rsidRDefault="0065403A" w:rsidP="0065403A">
      <w:pPr>
        <w:pStyle w:val="ListParagraph"/>
      </w:pPr>
    </w:p>
    <w:p w:rsidR="00636776" w:rsidRDefault="0065403A" w:rsidP="00620164">
      <w:pPr>
        <w:pStyle w:val="ListParagraph"/>
        <w:numPr>
          <w:ilvl w:val="0"/>
          <w:numId w:val="8"/>
        </w:numPr>
      </w:pPr>
      <w:r>
        <w:t>To outline the nature of this market, t</w:t>
      </w:r>
      <w:r w:rsidR="00636776">
        <w:t>he chart below shows historic energy market price volatility over 10 years from 2004 to 2014</w:t>
      </w:r>
      <w:r w:rsidR="00620164">
        <w:t>.</w:t>
      </w:r>
      <w:r w:rsidR="00F5103B">
        <w:t xml:space="preserve"> </w:t>
      </w:r>
    </w:p>
    <w:p w:rsidR="00636776" w:rsidRPr="00620164" w:rsidRDefault="00636776" w:rsidP="00620164">
      <w:r>
        <w:rPr>
          <w:noProof/>
          <w:lang w:eastAsia="en-GB"/>
        </w:rPr>
        <w:drawing>
          <wp:inline distT="0" distB="0" distL="0" distR="0" wp14:anchorId="16FDF863" wp14:editId="282EA484">
            <wp:extent cx="6481159" cy="33368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94943" cy="3343925"/>
                    </a:xfrm>
                    <a:prstGeom prst="rect">
                      <a:avLst/>
                    </a:prstGeom>
                  </pic:spPr>
                </pic:pic>
              </a:graphicData>
            </a:graphic>
          </wp:inline>
        </w:drawing>
      </w:r>
    </w:p>
    <w:p w:rsidR="00636776" w:rsidRDefault="00636776" w:rsidP="00636776">
      <w:pPr>
        <w:pStyle w:val="ListParagraph"/>
        <w:ind w:left="644"/>
      </w:pPr>
    </w:p>
    <w:p w:rsidR="0065403A" w:rsidRDefault="0065403A" w:rsidP="0065403A">
      <w:pPr>
        <w:pStyle w:val="ListParagraph"/>
        <w:numPr>
          <w:ilvl w:val="0"/>
          <w:numId w:val="8"/>
        </w:numPr>
      </w:pPr>
      <w:r>
        <w:t>Purchasing energy through a PBO like LASER on a flexible energy contract meets the Cabinet Office recommendation for Council’s operating in this volatile market</w:t>
      </w:r>
      <w:r w:rsidR="00D1108A">
        <w:t>. This</w:t>
      </w:r>
      <w:r>
        <w:t xml:space="preserve"> </w:t>
      </w:r>
      <w:r w:rsidR="00724A47">
        <w:t>approach manages risk</w:t>
      </w:r>
      <w:r>
        <w:t xml:space="preserve"> </w:t>
      </w:r>
      <w:r w:rsidR="00724A47">
        <w:t>in</w:t>
      </w:r>
      <w:r>
        <w:t xml:space="preserve"> securing the most competitive and risk-managed energy price in an increasingly volatile and complex energy market.</w:t>
      </w:r>
    </w:p>
    <w:p w:rsidR="00D1108A" w:rsidRDefault="00D1108A" w:rsidP="00D1108A">
      <w:pPr>
        <w:pStyle w:val="ListParagraph"/>
        <w:ind w:left="644"/>
      </w:pPr>
    </w:p>
    <w:p w:rsidR="00620164" w:rsidRPr="00620164" w:rsidRDefault="006C7096" w:rsidP="0065403A">
      <w:pPr>
        <w:pStyle w:val="ListParagraph"/>
        <w:numPr>
          <w:ilvl w:val="0"/>
          <w:numId w:val="8"/>
        </w:numPr>
      </w:pPr>
      <w:r>
        <w:t>Our</w:t>
      </w:r>
      <w:r w:rsidR="00620164" w:rsidRPr="00620164">
        <w:t xml:space="preserve"> existing arrangements</w:t>
      </w:r>
      <w:r w:rsidR="00F5103B">
        <w:t xml:space="preserve"> with LASER</w:t>
      </w:r>
      <w:r w:rsidR="00620164" w:rsidRPr="00620164">
        <w:t xml:space="preserve"> </w:t>
      </w:r>
      <w:r w:rsidR="00724A47">
        <w:t xml:space="preserve">terminate </w:t>
      </w:r>
      <w:r w:rsidR="00620164" w:rsidRPr="00620164">
        <w:t>at the end of September 2016</w:t>
      </w:r>
      <w:r>
        <w:t xml:space="preserve">. To </w:t>
      </w:r>
      <w:r w:rsidRPr="00620164">
        <w:t xml:space="preserve">give the best chance of </w:t>
      </w:r>
      <w:r>
        <w:t>securing lower energy rates</w:t>
      </w:r>
      <w:r w:rsidRPr="00620164">
        <w:t xml:space="preserve"> </w:t>
      </w:r>
      <w:r>
        <w:t>i</w:t>
      </w:r>
      <w:r w:rsidR="00620164" w:rsidRPr="00620164">
        <w:t>t is</w:t>
      </w:r>
      <w:r>
        <w:t xml:space="preserve"> advised that a new contract </w:t>
      </w:r>
      <w:r w:rsidRPr="00620164">
        <w:t>f</w:t>
      </w:r>
      <w:r>
        <w:t>or the period</w:t>
      </w:r>
      <w:r w:rsidRPr="00620164">
        <w:t xml:space="preserve"> October 2016 to </w:t>
      </w:r>
      <w:r>
        <w:lastRenderedPageBreak/>
        <w:t>September 2020 should be in place no later than 31 March 2016</w:t>
      </w:r>
      <w:r w:rsidR="009A0C4D">
        <w:t>. This will</w:t>
      </w:r>
      <w:r>
        <w:t xml:space="preserve"> allow for a minimum of six months of advanced purchasing of energy under the flexible purchasing arrangement</w:t>
      </w:r>
      <w:r w:rsidR="00620164" w:rsidRPr="00620164">
        <w:t xml:space="preserve">. </w:t>
      </w:r>
    </w:p>
    <w:p w:rsidR="00620164" w:rsidRPr="00620164" w:rsidRDefault="00620164" w:rsidP="00620164">
      <w:pPr>
        <w:pStyle w:val="ListParagraph"/>
        <w:rPr>
          <w:sz w:val="20"/>
          <w:szCs w:val="20"/>
        </w:rPr>
      </w:pPr>
    </w:p>
    <w:p w:rsidR="00EE039A" w:rsidRDefault="00EE039A" w:rsidP="0065403A">
      <w:pPr>
        <w:pStyle w:val="Style1"/>
        <w:numPr>
          <w:ilvl w:val="0"/>
          <w:numId w:val="8"/>
        </w:numPr>
        <w:tabs>
          <w:tab w:val="clear" w:pos="709"/>
          <w:tab w:val="left" w:pos="720"/>
        </w:tabs>
        <w:spacing w:line="240" w:lineRule="auto"/>
        <w:rPr>
          <w:rFonts w:cs="Arial"/>
        </w:rPr>
      </w:pPr>
      <w:r>
        <w:rPr>
          <w:rFonts w:cs="Arial"/>
        </w:rPr>
        <w:t>The Council currently spends c</w:t>
      </w:r>
      <w:r w:rsidR="006C7096">
        <w:rPr>
          <w:rFonts w:cs="Arial"/>
        </w:rPr>
        <w:t>irc</w:t>
      </w:r>
      <w:r>
        <w:rPr>
          <w:rFonts w:cs="Arial"/>
        </w:rPr>
        <w:t>a £1.</w:t>
      </w:r>
      <w:r w:rsidR="00244F35">
        <w:rPr>
          <w:rFonts w:cs="Arial"/>
        </w:rPr>
        <w:t>62</w:t>
      </w:r>
      <w:r>
        <w:rPr>
          <w:rFonts w:cs="Arial"/>
        </w:rPr>
        <w:t xml:space="preserve"> million</w:t>
      </w:r>
      <w:r w:rsidRPr="00603243">
        <w:rPr>
          <w:rFonts w:cs="Arial"/>
        </w:rPr>
        <w:t xml:space="preserve"> </w:t>
      </w:r>
      <w:r>
        <w:rPr>
          <w:rFonts w:cs="Arial"/>
        </w:rPr>
        <w:t xml:space="preserve">a year on gas, electricity and water across all of its buildings and operational sites.  </w:t>
      </w:r>
      <w:r w:rsidR="006C7096">
        <w:rPr>
          <w:rFonts w:cs="Arial"/>
        </w:rPr>
        <w:t xml:space="preserve">(800 metered supplies). </w:t>
      </w:r>
      <w:r>
        <w:rPr>
          <w:rFonts w:cs="Arial"/>
        </w:rPr>
        <w:t>The expenditure is split as follows:</w:t>
      </w:r>
      <w:r>
        <w:rPr>
          <w:rFonts w:cs="Arial"/>
        </w:rPr>
        <w:br/>
        <w:t xml:space="preserve"> </w:t>
      </w:r>
    </w:p>
    <w:p w:rsidR="00EE039A" w:rsidRPr="00603243" w:rsidRDefault="00EE039A" w:rsidP="00EE039A">
      <w:pPr>
        <w:pStyle w:val="Style1"/>
        <w:numPr>
          <w:ilvl w:val="0"/>
          <w:numId w:val="6"/>
        </w:numPr>
        <w:tabs>
          <w:tab w:val="clear" w:pos="709"/>
          <w:tab w:val="clear" w:pos="1788"/>
          <w:tab w:val="left" w:pos="1080"/>
          <w:tab w:val="num" w:pos="1440"/>
        </w:tabs>
        <w:spacing w:line="240" w:lineRule="auto"/>
        <w:ind w:left="1440"/>
        <w:rPr>
          <w:rFonts w:cs="Arial"/>
        </w:rPr>
      </w:pPr>
      <w:r w:rsidRPr="00603243">
        <w:rPr>
          <w:rFonts w:cs="Arial"/>
        </w:rPr>
        <w:t>Gas - £0.</w:t>
      </w:r>
      <w:r>
        <w:rPr>
          <w:rFonts w:cs="Arial"/>
        </w:rPr>
        <w:t>4</w:t>
      </w:r>
      <w:r w:rsidR="00244F35">
        <w:rPr>
          <w:rFonts w:cs="Arial"/>
        </w:rPr>
        <w:t>6</w:t>
      </w:r>
      <w:r w:rsidRPr="00603243">
        <w:rPr>
          <w:rFonts w:cs="Arial"/>
        </w:rPr>
        <w:t xml:space="preserve">million </w:t>
      </w:r>
    </w:p>
    <w:p w:rsidR="00EE039A" w:rsidRDefault="00EE039A" w:rsidP="00EE039A">
      <w:pPr>
        <w:pStyle w:val="Style1"/>
        <w:numPr>
          <w:ilvl w:val="0"/>
          <w:numId w:val="6"/>
        </w:numPr>
        <w:tabs>
          <w:tab w:val="clear" w:pos="709"/>
          <w:tab w:val="clear" w:pos="1788"/>
          <w:tab w:val="left" w:pos="1080"/>
          <w:tab w:val="num" w:pos="1440"/>
        </w:tabs>
        <w:spacing w:line="240" w:lineRule="auto"/>
        <w:ind w:left="1440"/>
        <w:rPr>
          <w:rFonts w:cs="Arial"/>
        </w:rPr>
      </w:pPr>
      <w:r w:rsidRPr="00603243">
        <w:rPr>
          <w:rFonts w:cs="Arial"/>
        </w:rPr>
        <w:t>Electricity - £</w:t>
      </w:r>
      <w:r w:rsidR="00244F35">
        <w:rPr>
          <w:rFonts w:cs="Arial"/>
        </w:rPr>
        <w:t>0.96</w:t>
      </w:r>
      <w:r w:rsidRPr="00603243">
        <w:rPr>
          <w:rFonts w:cs="Arial"/>
        </w:rPr>
        <w:t xml:space="preserve">million </w:t>
      </w:r>
    </w:p>
    <w:p w:rsidR="00EE039A" w:rsidRDefault="00EE039A" w:rsidP="00EE039A">
      <w:pPr>
        <w:pStyle w:val="Style1"/>
        <w:numPr>
          <w:ilvl w:val="0"/>
          <w:numId w:val="6"/>
        </w:numPr>
        <w:tabs>
          <w:tab w:val="clear" w:pos="709"/>
          <w:tab w:val="clear" w:pos="1788"/>
          <w:tab w:val="left" w:pos="1080"/>
          <w:tab w:val="num" w:pos="1440"/>
        </w:tabs>
        <w:spacing w:line="240" w:lineRule="auto"/>
        <w:ind w:left="1440"/>
        <w:rPr>
          <w:rFonts w:cs="Arial"/>
        </w:rPr>
      </w:pPr>
      <w:r>
        <w:rPr>
          <w:rFonts w:cs="Arial"/>
        </w:rPr>
        <w:t>Water - £0.2</w:t>
      </w:r>
      <w:r w:rsidR="00244F35">
        <w:rPr>
          <w:rFonts w:cs="Arial"/>
        </w:rPr>
        <w:t>0</w:t>
      </w:r>
      <w:r>
        <w:rPr>
          <w:rFonts w:cs="Arial"/>
        </w:rPr>
        <w:t>million</w:t>
      </w:r>
    </w:p>
    <w:p w:rsidR="00EE039A" w:rsidRDefault="00EE039A" w:rsidP="00EE039A">
      <w:pPr>
        <w:pStyle w:val="Style1"/>
        <w:tabs>
          <w:tab w:val="clear" w:pos="709"/>
          <w:tab w:val="left" w:pos="1080"/>
        </w:tabs>
        <w:spacing w:line="240" w:lineRule="auto"/>
        <w:rPr>
          <w:rFonts w:cs="Arial"/>
        </w:rPr>
      </w:pPr>
    </w:p>
    <w:p w:rsidR="00E71B6A" w:rsidRPr="00A05DBB" w:rsidRDefault="00E71B6A" w:rsidP="00E71B6A">
      <w:pPr>
        <w:pStyle w:val="Style1"/>
        <w:numPr>
          <w:ilvl w:val="0"/>
          <w:numId w:val="8"/>
        </w:numPr>
        <w:tabs>
          <w:tab w:val="clear" w:pos="709"/>
          <w:tab w:val="clear" w:pos="9072"/>
          <w:tab w:val="left" w:pos="720"/>
        </w:tabs>
        <w:spacing w:line="240" w:lineRule="auto"/>
        <w:rPr>
          <w:rFonts w:cs="Arial"/>
          <w:szCs w:val="24"/>
        </w:rPr>
      </w:pPr>
      <w:r w:rsidRPr="00A05DBB">
        <w:rPr>
          <w:rFonts w:cs="Arial"/>
          <w:szCs w:val="24"/>
        </w:rPr>
        <w:t>Efficiency improvements</w:t>
      </w:r>
      <w:r>
        <w:rPr>
          <w:rFonts w:cs="Arial"/>
          <w:szCs w:val="24"/>
        </w:rPr>
        <w:t xml:space="preserve"> at the Council,</w:t>
      </w:r>
      <w:r w:rsidRPr="00A05DBB">
        <w:rPr>
          <w:rFonts w:cs="Arial"/>
          <w:szCs w:val="24"/>
        </w:rPr>
        <w:t xml:space="preserve"> which have resulted in reduced gas, electricity and water consumption</w:t>
      </w:r>
      <w:r>
        <w:rPr>
          <w:rFonts w:cs="Arial"/>
          <w:szCs w:val="24"/>
        </w:rPr>
        <w:t>,</w:t>
      </w:r>
      <w:r w:rsidRPr="00A05DBB">
        <w:rPr>
          <w:rFonts w:cs="Arial"/>
          <w:szCs w:val="24"/>
        </w:rPr>
        <w:t xml:space="preserve"> have </w:t>
      </w:r>
      <w:r>
        <w:rPr>
          <w:rFonts w:cs="Arial"/>
          <w:szCs w:val="24"/>
        </w:rPr>
        <w:t xml:space="preserve">also </w:t>
      </w:r>
      <w:r w:rsidRPr="00A05DBB">
        <w:rPr>
          <w:rFonts w:cs="Arial"/>
          <w:szCs w:val="24"/>
        </w:rPr>
        <w:t xml:space="preserve">made the council </w:t>
      </w:r>
      <w:r>
        <w:rPr>
          <w:rFonts w:cs="Arial"/>
          <w:szCs w:val="24"/>
        </w:rPr>
        <w:t>circa</w:t>
      </w:r>
      <w:r w:rsidRPr="00A05DBB">
        <w:rPr>
          <w:rFonts w:cs="Arial"/>
          <w:szCs w:val="24"/>
        </w:rPr>
        <w:t xml:space="preserve"> £500k/year better off </w:t>
      </w:r>
      <w:r>
        <w:rPr>
          <w:rFonts w:cs="Arial"/>
          <w:szCs w:val="24"/>
        </w:rPr>
        <w:t xml:space="preserve">(2014/15) </w:t>
      </w:r>
      <w:r w:rsidRPr="00A05DBB">
        <w:rPr>
          <w:rFonts w:cs="Arial"/>
          <w:szCs w:val="24"/>
        </w:rPr>
        <w:t xml:space="preserve">compared to energy and water consumption levels before a carbon management plan was </w:t>
      </w:r>
      <w:r>
        <w:rPr>
          <w:rFonts w:cs="Arial"/>
          <w:szCs w:val="24"/>
        </w:rPr>
        <w:t>in place</w:t>
      </w:r>
      <w:r w:rsidRPr="00A05DBB">
        <w:rPr>
          <w:rFonts w:cs="Arial"/>
          <w:szCs w:val="24"/>
        </w:rPr>
        <w:t>.</w:t>
      </w:r>
      <w:r>
        <w:rPr>
          <w:rFonts w:cs="Arial"/>
          <w:szCs w:val="24"/>
        </w:rPr>
        <w:t xml:space="preserve"> </w:t>
      </w:r>
    </w:p>
    <w:p w:rsidR="00E71B6A" w:rsidRDefault="00E71B6A" w:rsidP="00E71B6A">
      <w:pPr>
        <w:pStyle w:val="Style1"/>
        <w:tabs>
          <w:tab w:val="clear" w:pos="709"/>
          <w:tab w:val="clear" w:pos="9072"/>
          <w:tab w:val="left" w:pos="720"/>
        </w:tabs>
        <w:spacing w:line="240" w:lineRule="auto"/>
        <w:ind w:left="644"/>
        <w:rPr>
          <w:rFonts w:cs="Arial"/>
        </w:rPr>
      </w:pPr>
    </w:p>
    <w:p w:rsidR="00EE039A" w:rsidRDefault="00EE039A" w:rsidP="006C7096">
      <w:pPr>
        <w:pStyle w:val="Style1"/>
        <w:numPr>
          <w:ilvl w:val="0"/>
          <w:numId w:val="8"/>
        </w:numPr>
        <w:tabs>
          <w:tab w:val="clear" w:pos="709"/>
          <w:tab w:val="clear" w:pos="9072"/>
          <w:tab w:val="left" w:pos="720"/>
        </w:tabs>
        <w:spacing w:line="240" w:lineRule="auto"/>
        <w:rPr>
          <w:rFonts w:cs="Arial"/>
        </w:rPr>
      </w:pPr>
      <w:r w:rsidRPr="006C7096">
        <w:rPr>
          <w:rFonts w:cs="Arial"/>
        </w:rPr>
        <w:t xml:space="preserve">The contracts for </w:t>
      </w:r>
      <w:r w:rsidR="006C7096" w:rsidRPr="006C7096">
        <w:rPr>
          <w:rFonts w:cs="Arial"/>
        </w:rPr>
        <w:t xml:space="preserve">the supply of </w:t>
      </w:r>
      <w:r w:rsidRPr="006C7096">
        <w:rPr>
          <w:rFonts w:cs="Arial"/>
        </w:rPr>
        <w:t>electricity and gas are broken down</w:t>
      </w:r>
      <w:r w:rsidR="006C7096" w:rsidRPr="006C7096">
        <w:rPr>
          <w:rFonts w:cs="Arial"/>
        </w:rPr>
        <w:t xml:space="preserve"> into lots</w:t>
      </w:r>
      <w:r w:rsidRPr="006C7096">
        <w:rPr>
          <w:rFonts w:cs="Arial"/>
        </w:rPr>
        <w:t xml:space="preserve"> by typical annual consumption and meter type</w:t>
      </w:r>
      <w:r w:rsidR="006C7096" w:rsidRPr="006C7096">
        <w:rPr>
          <w:rFonts w:cs="Arial"/>
        </w:rPr>
        <w:t>.</w:t>
      </w:r>
      <w:r w:rsidR="006C7096">
        <w:rPr>
          <w:rFonts w:cs="Arial"/>
        </w:rPr>
        <w:t xml:space="preserve"> </w:t>
      </w:r>
      <w:r w:rsidR="008F3E48" w:rsidRPr="006C7096">
        <w:rPr>
          <w:rFonts w:cs="Arial"/>
        </w:rPr>
        <w:t>Current arrangements</w:t>
      </w:r>
      <w:r w:rsidRPr="006C7096">
        <w:rPr>
          <w:rFonts w:cs="Arial"/>
        </w:rPr>
        <w:t xml:space="preserve"> with </w:t>
      </w:r>
      <w:r w:rsidR="008F3E48" w:rsidRPr="006C7096">
        <w:rPr>
          <w:rFonts w:cs="Arial"/>
        </w:rPr>
        <w:t xml:space="preserve">their </w:t>
      </w:r>
      <w:r w:rsidRPr="006C7096">
        <w:rPr>
          <w:rFonts w:cs="Arial"/>
        </w:rPr>
        <w:t xml:space="preserve">renewal dates and typical annual consumption figures </w:t>
      </w:r>
      <w:r w:rsidR="008F3E48" w:rsidRPr="006C7096">
        <w:rPr>
          <w:rFonts w:cs="Arial"/>
        </w:rPr>
        <w:t>are detailed below</w:t>
      </w:r>
      <w:r w:rsidRPr="006C7096">
        <w:rPr>
          <w:rFonts w:cs="Arial"/>
        </w:rPr>
        <w:t>:</w:t>
      </w:r>
    </w:p>
    <w:p w:rsidR="00A05D13" w:rsidRDefault="00A05D13" w:rsidP="009A0C4D">
      <w:pPr>
        <w:pStyle w:val="Style1"/>
        <w:tabs>
          <w:tab w:val="clear" w:pos="709"/>
          <w:tab w:val="clear" w:pos="9072"/>
          <w:tab w:val="left" w:pos="720"/>
        </w:tabs>
        <w:spacing w:line="240" w:lineRule="auto"/>
        <w:ind w:left="644"/>
        <w:rPr>
          <w:rFonts w:cs="Arial"/>
        </w:rPr>
      </w:pPr>
    </w:p>
    <w:tbl>
      <w:tblPr>
        <w:tblStyle w:val="TableGrid"/>
        <w:tblW w:w="0" w:type="auto"/>
        <w:tblInd w:w="644" w:type="dxa"/>
        <w:tblLook w:val="04A0" w:firstRow="1" w:lastRow="0" w:firstColumn="1" w:lastColumn="0" w:noHBand="0" w:noVBand="1"/>
      </w:tblPr>
      <w:tblGrid>
        <w:gridCol w:w="1549"/>
        <w:gridCol w:w="1480"/>
        <w:gridCol w:w="1913"/>
        <w:gridCol w:w="1417"/>
        <w:gridCol w:w="1519"/>
      </w:tblGrid>
      <w:tr w:rsidR="00A05D13" w:rsidTr="00A8602F">
        <w:tc>
          <w:tcPr>
            <w:tcW w:w="1549"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Energy supply</w:t>
            </w:r>
          </w:p>
        </w:tc>
        <w:tc>
          <w:tcPr>
            <w:tcW w:w="1480"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Number of sites</w:t>
            </w:r>
          </w:p>
        </w:tc>
        <w:tc>
          <w:tcPr>
            <w:tcW w:w="1913"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Annual expenditure (consumption)</w:t>
            </w:r>
          </w:p>
        </w:tc>
        <w:tc>
          <w:tcPr>
            <w:tcW w:w="1417"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Contract type</w:t>
            </w:r>
          </w:p>
        </w:tc>
        <w:tc>
          <w:tcPr>
            <w:tcW w:w="1519"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Contract renewal date</w:t>
            </w:r>
          </w:p>
        </w:tc>
      </w:tr>
      <w:tr w:rsidR="00A05D13" w:rsidTr="00A8602F">
        <w:tc>
          <w:tcPr>
            <w:tcW w:w="1549" w:type="dxa"/>
          </w:tcPr>
          <w:p w:rsidR="00A05D13" w:rsidRDefault="00A05D13" w:rsidP="00252378">
            <w:pPr>
              <w:pStyle w:val="Style1"/>
              <w:tabs>
                <w:tab w:val="clear" w:pos="9072"/>
              </w:tabs>
              <w:spacing w:line="240" w:lineRule="auto"/>
              <w:rPr>
                <w:rFonts w:cs="Arial"/>
              </w:rPr>
            </w:pPr>
            <w:r w:rsidRPr="00C67E3F">
              <w:rPr>
                <w:rFonts w:cs="Arial"/>
              </w:rPr>
              <w:t>Gas</w:t>
            </w:r>
            <w:r>
              <w:rPr>
                <w:rFonts w:cs="Arial"/>
              </w:rPr>
              <w:t xml:space="preserve"> (large supplies)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29</w:t>
            </w:r>
          </w:p>
        </w:tc>
        <w:tc>
          <w:tcPr>
            <w:tcW w:w="1913" w:type="dxa"/>
          </w:tcPr>
          <w:p w:rsidR="00A05D13" w:rsidRDefault="00A05D13" w:rsidP="00A05D13">
            <w:pPr>
              <w:pStyle w:val="Style1"/>
              <w:tabs>
                <w:tab w:val="clear" w:pos="709"/>
                <w:tab w:val="clear" w:pos="9072"/>
                <w:tab w:val="left" w:pos="720"/>
              </w:tabs>
              <w:spacing w:line="240" w:lineRule="auto"/>
              <w:rPr>
                <w:rFonts w:cs="Arial"/>
              </w:rPr>
            </w:pPr>
            <w:r>
              <w:rPr>
                <w:rFonts w:cs="Arial"/>
              </w:rPr>
              <w:t>c. £460,000</w:t>
            </w:r>
          </w:p>
          <w:p w:rsidR="00A05D13" w:rsidRDefault="00A05D13" w:rsidP="00A05D13">
            <w:pPr>
              <w:pStyle w:val="Style1"/>
              <w:tabs>
                <w:tab w:val="clear" w:pos="9072"/>
              </w:tabs>
              <w:spacing w:line="240" w:lineRule="auto"/>
              <w:rPr>
                <w:rFonts w:cs="Arial"/>
              </w:rPr>
            </w:pPr>
            <w:r>
              <w:rPr>
                <w:rFonts w:cs="Arial"/>
              </w:rPr>
              <w:t>(</w:t>
            </w:r>
            <w:r w:rsidRPr="00C67E3F">
              <w:rPr>
                <w:rFonts w:cs="Arial"/>
              </w:rPr>
              <w:t>14</w:t>
            </w:r>
            <w:r>
              <w:rPr>
                <w:rFonts w:cs="Arial"/>
              </w:rPr>
              <w:t>.</w:t>
            </w:r>
            <w:r w:rsidRPr="00C67E3F">
              <w:rPr>
                <w:rFonts w:cs="Arial"/>
              </w:rPr>
              <w:t>9</w:t>
            </w:r>
            <w:r>
              <w:rPr>
                <w:rFonts w:cs="Arial"/>
              </w:rPr>
              <w:t xml:space="preserve"> million </w:t>
            </w:r>
            <w:r w:rsidRPr="00C67E3F">
              <w:rPr>
                <w:rFonts w:cs="Arial"/>
              </w:rPr>
              <w:t>kWh</w:t>
            </w:r>
            <w:r>
              <w:rPr>
                <w:rFonts w:cs="Arial"/>
              </w:rPr>
              <w:t>)</w:t>
            </w:r>
          </w:p>
        </w:tc>
        <w:tc>
          <w:tcPr>
            <w:tcW w:w="1417"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Flexible Purchasing Contract</w:t>
            </w:r>
          </w:p>
        </w:tc>
        <w:tc>
          <w:tcPr>
            <w:tcW w:w="1519"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Oct 201</w:t>
            </w:r>
            <w:r>
              <w:rPr>
                <w:rFonts w:cs="Arial"/>
              </w:rPr>
              <w:t>6</w:t>
            </w:r>
          </w:p>
        </w:tc>
      </w:tr>
      <w:tr w:rsidR="00A05D13" w:rsidTr="00A8602F">
        <w:tc>
          <w:tcPr>
            <w:tcW w:w="1549" w:type="dxa"/>
          </w:tcPr>
          <w:p w:rsidR="00A05D13" w:rsidRPr="00C67E3F" w:rsidRDefault="00A05D13" w:rsidP="009E5651">
            <w:pPr>
              <w:pStyle w:val="Style1"/>
              <w:tabs>
                <w:tab w:val="clear" w:pos="9072"/>
              </w:tabs>
              <w:spacing w:line="240" w:lineRule="auto"/>
              <w:rPr>
                <w:rFonts w:cs="Arial"/>
              </w:rPr>
            </w:pPr>
            <w:r>
              <w:rPr>
                <w:rFonts w:cs="Arial"/>
              </w:rPr>
              <w:t xml:space="preserve">Gas (smaller </w:t>
            </w:r>
            <w:r w:rsidR="009E5651">
              <w:rPr>
                <w:rFonts w:cs="Arial"/>
              </w:rPr>
              <w:t xml:space="preserve">quarterly </w:t>
            </w:r>
            <w:r>
              <w:rPr>
                <w:rFonts w:cs="Arial"/>
              </w:rPr>
              <w:t>billed supplies)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35</w:t>
            </w:r>
          </w:p>
        </w:tc>
        <w:tc>
          <w:tcPr>
            <w:tcW w:w="1913" w:type="dxa"/>
          </w:tcPr>
          <w:p w:rsidR="00A05D13" w:rsidRDefault="00A05D13" w:rsidP="00A05D13">
            <w:pPr>
              <w:pStyle w:val="Style1"/>
              <w:tabs>
                <w:tab w:val="clear" w:pos="9072"/>
              </w:tabs>
              <w:spacing w:line="240" w:lineRule="auto"/>
              <w:rPr>
                <w:rFonts w:cs="Arial"/>
              </w:rPr>
            </w:pPr>
            <w:r>
              <w:rPr>
                <w:rFonts w:cs="Arial"/>
              </w:rPr>
              <w:t>c. £36,000</w:t>
            </w:r>
          </w:p>
          <w:p w:rsidR="00A05D13" w:rsidRDefault="00A05D13" w:rsidP="00A05D13">
            <w:pPr>
              <w:pStyle w:val="Style1"/>
              <w:tabs>
                <w:tab w:val="clear" w:pos="9072"/>
              </w:tabs>
              <w:spacing w:line="240" w:lineRule="auto"/>
              <w:rPr>
                <w:rFonts w:cs="Arial"/>
              </w:rPr>
            </w:pPr>
          </w:p>
          <w:p w:rsidR="00A05D13" w:rsidRDefault="00A05D13" w:rsidP="00A05D13">
            <w:pPr>
              <w:pStyle w:val="Style1"/>
              <w:tabs>
                <w:tab w:val="clear" w:pos="9072"/>
              </w:tabs>
              <w:spacing w:line="240" w:lineRule="auto"/>
              <w:rPr>
                <w:rFonts w:cs="Arial"/>
              </w:rPr>
            </w:pPr>
            <w:r>
              <w:rPr>
                <w:rFonts w:cs="Arial"/>
              </w:rPr>
              <w:t>(200,000 kWh)</w:t>
            </w:r>
          </w:p>
        </w:tc>
        <w:tc>
          <w:tcPr>
            <w:tcW w:w="1417" w:type="dxa"/>
          </w:tcPr>
          <w:p w:rsidR="00A05D13" w:rsidRPr="00C67E3F" w:rsidRDefault="00A05D13" w:rsidP="00A05D13">
            <w:pPr>
              <w:pStyle w:val="Style1"/>
              <w:tabs>
                <w:tab w:val="clear" w:pos="709"/>
                <w:tab w:val="clear" w:pos="9072"/>
                <w:tab w:val="left" w:pos="720"/>
              </w:tabs>
              <w:spacing w:line="240" w:lineRule="auto"/>
              <w:rPr>
                <w:rFonts w:cs="Arial"/>
              </w:rPr>
            </w:pPr>
            <w:r>
              <w:rPr>
                <w:rFonts w:cs="Arial"/>
              </w:rPr>
              <w:t>Fixed-term, Fixed price contract</w:t>
            </w:r>
          </w:p>
        </w:tc>
        <w:tc>
          <w:tcPr>
            <w:tcW w:w="1519" w:type="dxa"/>
          </w:tcPr>
          <w:p w:rsidR="00A05D13" w:rsidRPr="00C67E3F" w:rsidRDefault="00A05D13" w:rsidP="00A05D13">
            <w:pPr>
              <w:pStyle w:val="Style1"/>
              <w:tabs>
                <w:tab w:val="clear" w:pos="709"/>
                <w:tab w:val="clear" w:pos="9072"/>
                <w:tab w:val="left" w:pos="720"/>
              </w:tabs>
              <w:spacing w:line="240" w:lineRule="auto"/>
              <w:rPr>
                <w:rFonts w:cs="Arial"/>
              </w:rPr>
            </w:pPr>
            <w:r>
              <w:rPr>
                <w:rFonts w:cs="Arial"/>
              </w:rPr>
              <w:t>Oct 2016</w:t>
            </w:r>
          </w:p>
        </w:tc>
      </w:tr>
      <w:tr w:rsidR="00A05D13" w:rsidTr="00A8602F">
        <w:tc>
          <w:tcPr>
            <w:tcW w:w="1549" w:type="dxa"/>
          </w:tcPr>
          <w:p w:rsidR="00A05D13" w:rsidRDefault="00A05D13" w:rsidP="00252378">
            <w:pPr>
              <w:pStyle w:val="Style1"/>
              <w:tabs>
                <w:tab w:val="clear" w:pos="9072"/>
              </w:tabs>
              <w:spacing w:line="240" w:lineRule="auto"/>
              <w:rPr>
                <w:rFonts w:cs="Arial"/>
              </w:rPr>
            </w:pPr>
            <w:r w:rsidRPr="00C67E3F">
              <w:rPr>
                <w:rFonts w:cs="Arial"/>
              </w:rPr>
              <w:t xml:space="preserve">Electricity </w:t>
            </w:r>
            <w:r>
              <w:rPr>
                <w:rFonts w:cs="Arial"/>
              </w:rPr>
              <w:t xml:space="preserve">(large </w:t>
            </w:r>
            <w:r w:rsidRPr="00C67E3F">
              <w:rPr>
                <w:rFonts w:cs="Arial"/>
              </w:rPr>
              <w:t>s</w:t>
            </w:r>
            <w:r>
              <w:rPr>
                <w:rFonts w:cs="Arial"/>
              </w:rPr>
              <w:t>upplies</w:t>
            </w:r>
            <w:r w:rsidR="00252378">
              <w:rPr>
                <w:rFonts w:cs="Arial"/>
              </w:rPr>
              <w:t xml:space="preserve"> – “half-hourly” metered</w:t>
            </w:r>
            <w:r>
              <w:rPr>
                <w:rFonts w:cs="Arial"/>
              </w:rPr>
              <w:t>)</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9</w:t>
            </w:r>
          </w:p>
        </w:tc>
        <w:tc>
          <w:tcPr>
            <w:tcW w:w="1913" w:type="dxa"/>
          </w:tcPr>
          <w:p w:rsidR="00A05D13" w:rsidRDefault="00A05D13" w:rsidP="00A05D13">
            <w:pPr>
              <w:pStyle w:val="Style1"/>
              <w:tabs>
                <w:tab w:val="clear" w:pos="709"/>
                <w:tab w:val="clear" w:pos="9072"/>
                <w:tab w:val="left" w:pos="720"/>
              </w:tabs>
              <w:spacing w:line="240" w:lineRule="auto"/>
              <w:rPr>
                <w:rFonts w:cs="Arial"/>
              </w:rPr>
            </w:pPr>
            <w:r>
              <w:rPr>
                <w:rFonts w:cs="Arial"/>
              </w:rPr>
              <w:t>c. £500,000</w:t>
            </w:r>
          </w:p>
          <w:p w:rsidR="00A05D13" w:rsidRDefault="00A05D13" w:rsidP="00A05D13">
            <w:pPr>
              <w:pStyle w:val="Style1"/>
              <w:tabs>
                <w:tab w:val="clear" w:pos="9072"/>
              </w:tabs>
              <w:spacing w:line="240" w:lineRule="auto"/>
              <w:rPr>
                <w:rFonts w:cs="Arial"/>
              </w:rPr>
            </w:pPr>
            <w:r>
              <w:rPr>
                <w:rFonts w:cs="Arial"/>
              </w:rPr>
              <w:t>(5.</w:t>
            </w:r>
            <w:r w:rsidRPr="00C67E3F">
              <w:rPr>
                <w:rFonts w:cs="Arial"/>
              </w:rPr>
              <w:t>6</w:t>
            </w:r>
            <w:r>
              <w:rPr>
                <w:rFonts w:cs="Arial"/>
              </w:rPr>
              <w:t xml:space="preserve"> million</w:t>
            </w:r>
            <w:r w:rsidRPr="00C67E3F">
              <w:rPr>
                <w:rFonts w:cs="Arial"/>
              </w:rPr>
              <w:t xml:space="preserve"> kWh</w:t>
            </w:r>
            <w:r>
              <w:rPr>
                <w:rFonts w:cs="Arial"/>
              </w:rPr>
              <w:t>)</w:t>
            </w:r>
          </w:p>
        </w:tc>
        <w:tc>
          <w:tcPr>
            <w:tcW w:w="1417"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Flexible Purchasing Contract</w:t>
            </w:r>
          </w:p>
        </w:tc>
        <w:tc>
          <w:tcPr>
            <w:tcW w:w="1519"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Oct 201</w:t>
            </w:r>
            <w:r>
              <w:rPr>
                <w:rFonts w:cs="Arial"/>
              </w:rPr>
              <w:t>6</w:t>
            </w:r>
          </w:p>
        </w:tc>
      </w:tr>
      <w:tr w:rsidR="00A05D13" w:rsidTr="00A8602F">
        <w:tc>
          <w:tcPr>
            <w:tcW w:w="1549" w:type="dxa"/>
          </w:tcPr>
          <w:p w:rsidR="00A05D13" w:rsidRPr="00C67E3F" w:rsidRDefault="00A05D13" w:rsidP="00252378">
            <w:pPr>
              <w:pStyle w:val="Style1"/>
              <w:tabs>
                <w:tab w:val="clear" w:pos="9072"/>
              </w:tabs>
              <w:spacing w:line="240" w:lineRule="auto"/>
              <w:rPr>
                <w:rFonts w:cs="Arial"/>
              </w:rPr>
            </w:pPr>
            <w:r w:rsidRPr="00C67E3F">
              <w:rPr>
                <w:rFonts w:cs="Arial"/>
              </w:rPr>
              <w:t xml:space="preserve">Electricity </w:t>
            </w:r>
            <w:r>
              <w:rPr>
                <w:rFonts w:cs="Arial"/>
              </w:rPr>
              <w:t>(m</w:t>
            </w:r>
            <w:r w:rsidR="009E5651">
              <w:rPr>
                <w:rFonts w:cs="Arial"/>
              </w:rPr>
              <w:t>onthly</w:t>
            </w:r>
            <w:r>
              <w:rPr>
                <w:rFonts w:cs="Arial"/>
              </w:rPr>
              <w:t xml:space="preserve"> </w:t>
            </w:r>
            <w:r w:rsidRPr="00C67E3F">
              <w:rPr>
                <w:rFonts w:cs="Arial"/>
              </w:rPr>
              <w:t>billed</w:t>
            </w:r>
            <w:r>
              <w:rPr>
                <w:rFonts w:cs="Arial"/>
              </w:rPr>
              <w:t xml:space="preserve"> </w:t>
            </w:r>
            <w:r w:rsidRPr="00C67E3F">
              <w:rPr>
                <w:rFonts w:cs="Arial"/>
              </w:rPr>
              <w:t>non-half hourly s</w:t>
            </w:r>
            <w:r>
              <w:rPr>
                <w:rFonts w:cs="Arial"/>
              </w:rPr>
              <w:t>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8</w:t>
            </w:r>
          </w:p>
        </w:tc>
        <w:tc>
          <w:tcPr>
            <w:tcW w:w="1913" w:type="dxa"/>
          </w:tcPr>
          <w:p w:rsidR="00A05D13" w:rsidRDefault="00A05D13" w:rsidP="00A05D13">
            <w:pPr>
              <w:pStyle w:val="Style1"/>
              <w:tabs>
                <w:tab w:val="clear" w:pos="9072"/>
              </w:tabs>
              <w:spacing w:line="240" w:lineRule="auto"/>
              <w:rPr>
                <w:rFonts w:cs="Arial"/>
              </w:rPr>
            </w:pPr>
            <w:r>
              <w:rPr>
                <w:rFonts w:cs="Arial"/>
              </w:rPr>
              <w:t xml:space="preserve">c. £130,000 </w:t>
            </w:r>
          </w:p>
          <w:p w:rsidR="00A05D13" w:rsidRDefault="00A05D13" w:rsidP="00A05D13">
            <w:pPr>
              <w:pStyle w:val="Style1"/>
              <w:tabs>
                <w:tab w:val="clear" w:pos="9072"/>
              </w:tabs>
              <w:spacing w:line="240" w:lineRule="auto"/>
              <w:rPr>
                <w:rFonts w:cs="Arial"/>
              </w:rPr>
            </w:pPr>
          </w:p>
          <w:p w:rsidR="00A05D13" w:rsidRDefault="00A05D13" w:rsidP="00A05D13">
            <w:pPr>
              <w:pStyle w:val="Style1"/>
              <w:tabs>
                <w:tab w:val="clear" w:pos="9072"/>
              </w:tabs>
              <w:spacing w:line="240" w:lineRule="auto"/>
              <w:rPr>
                <w:rFonts w:cs="Arial"/>
              </w:rPr>
            </w:pPr>
            <w:r>
              <w:rPr>
                <w:rFonts w:cs="Arial"/>
              </w:rPr>
              <w:t>(</w:t>
            </w:r>
            <w:r w:rsidRPr="00C67E3F">
              <w:rPr>
                <w:rFonts w:cs="Arial"/>
              </w:rPr>
              <w:t>800,000kWh</w:t>
            </w:r>
            <w:r>
              <w:rPr>
                <w:rFonts w:cs="Arial"/>
              </w:rPr>
              <w:t>)</w:t>
            </w:r>
          </w:p>
        </w:tc>
        <w:tc>
          <w:tcPr>
            <w:tcW w:w="1417" w:type="dxa"/>
          </w:tcPr>
          <w:p w:rsidR="00A05D13" w:rsidRPr="00C67E3F" w:rsidRDefault="00A05D13" w:rsidP="00A05D13">
            <w:pPr>
              <w:pStyle w:val="Style1"/>
              <w:tabs>
                <w:tab w:val="clear" w:pos="709"/>
                <w:tab w:val="clear" w:pos="9072"/>
                <w:tab w:val="left" w:pos="720"/>
              </w:tabs>
              <w:spacing w:line="240" w:lineRule="auto"/>
              <w:rPr>
                <w:rFonts w:cs="Arial"/>
              </w:rPr>
            </w:pPr>
            <w:r w:rsidRPr="00C67E3F">
              <w:rPr>
                <w:rFonts w:cs="Arial"/>
              </w:rPr>
              <w:t>Flexible Purchasing Contract</w:t>
            </w:r>
          </w:p>
        </w:tc>
        <w:tc>
          <w:tcPr>
            <w:tcW w:w="1519" w:type="dxa"/>
          </w:tcPr>
          <w:p w:rsidR="00A05D13" w:rsidRPr="00C67E3F" w:rsidRDefault="00A05D13" w:rsidP="00A05D13">
            <w:pPr>
              <w:pStyle w:val="Style1"/>
              <w:tabs>
                <w:tab w:val="clear" w:pos="709"/>
                <w:tab w:val="clear" w:pos="9072"/>
                <w:tab w:val="left" w:pos="720"/>
              </w:tabs>
              <w:spacing w:line="240" w:lineRule="auto"/>
              <w:rPr>
                <w:rFonts w:cs="Arial"/>
              </w:rPr>
            </w:pPr>
            <w:r w:rsidRPr="00C67E3F">
              <w:rPr>
                <w:rFonts w:cs="Arial"/>
              </w:rPr>
              <w:t>Oct 201</w:t>
            </w:r>
            <w:r>
              <w:rPr>
                <w:rFonts w:cs="Arial"/>
              </w:rPr>
              <w:t>6</w:t>
            </w:r>
          </w:p>
        </w:tc>
      </w:tr>
      <w:tr w:rsidR="00A05D13" w:rsidTr="00A8602F">
        <w:tc>
          <w:tcPr>
            <w:tcW w:w="1549" w:type="dxa"/>
          </w:tcPr>
          <w:p w:rsidR="00A05D13" w:rsidRPr="00C67E3F" w:rsidRDefault="00A05D13" w:rsidP="009E5651">
            <w:pPr>
              <w:pStyle w:val="Style1"/>
              <w:tabs>
                <w:tab w:val="clear" w:pos="9072"/>
              </w:tabs>
              <w:spacing w:line="240" w:lineRule="auto"/>
              <w:rPr>
                <w:rFonts w:cs="Arial"/>
              </w:rPr>
            </w:pPr>
            <w:r w:rsidRPr="00C67E3F">
              <w:rPr>
                <w:rFonts w:cs="Arial"/>
              </w:rPr>
              <w:t xml:space="preserve">Electricity </w:t>
            </w:r>
            <w:r>
              <w:rPr>
                <w:rFonts w:cs="Arial"/>
              </w:rPr>
              <w:t xml:space="preserve">(smaller </w:t>
            </w:r>
            <w:r w:rsidRPr="00C67E3F">
              <w:rPr>
                <w:rFonts w:cs="Arial"/>
              </w:rPr>
              <w:t xml:space="preserve">quarterly  </w:t>
            </w:r>
            <w:r w:rsidR="009E5651">
              <w:rPr>
                <w:rFonts w:cs="Arial"/>
              </w:rPr>
              <w:t xml:space="preserve">billed </w:t>
            </w:r>
            <w:r w:rsidRPr="00C67E3F">
              <w:rPr>
                <w:rFonts w:cs="Arial"/>
              </w:rPr>
              <w:t>s</w:t>
            </w:r>
            <w:r>
              <w:rPr>
                <w:rFonts w:cs="Arial"/>
              </w:rPr>
              <w:t>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c. 603</w:t>
            </w:r>
            <w:r w:rsidRPr="00C67E3F">
              <w:rPr>
                <w:rFonts w:cs="Arial"/>
              </w:rPr>
              <w:t xml:space="preserve"> sites</w:t>
            </w:r>
          </w:p>
        </w:tc>
        <w:tc>
          <w:tcPr>
            <w:tcW w:w="1913" w:type="dxa"/>
          </w:tcPr>
          <w:p w:rsidR="00A05D13" w:rsidRDefault="00A05D13" w:rsidP="00A05D13">
            <w:pPr>
              <w:pStyle w:val="Style1"/>
              <w:tabs>
                <w:tab w:val="clear" w:pos="709"/>
                <w:tab w:val="clear" w:pos="9072"/>
                <w:tab w:val="left" w:pos="720"/>
              </w:tabs>
              <w:spacing w:line="240" w:lineRule="auto"/>
              <w:rPr>
                <w:rFonts w:cs="Arial"/>
              </w:rPr>
            </w:pPr>
            <w:r>
              <w:rPr>
                <w:rFonts w:cs="Arial"/>
              </w:rPr>
              <w:t>c. £325,000</w:t>
            </w:r>
          </w:p>
          <w:p w:rsidR="00A05D13" w:rsidRDefault="00A05D13" w:rsidP="00A05D13">
            <w:pPr>
              <w:pStyle w:val="Style1"/>
              <w:tabs>
                <w:tab w:val="clear" w:pos="709"/>
                <w:tab w:val="clear" w:pos="9072"/>
                <w:tab w:val="left" w:pos="720"/>
              </w:tabs>
              <w:spacing w:line="240" w:lineRule="auto"/>
              <w:rPr>
                <w:rFonts w:cs="Arial"/>
              </w:rPr>
            </w:pPr>
          </w:p>
          <w:p w:rsidR="00A05D13" w:rsidRDefault="00A05D13" w:rsidP="00A05D13">
            <w:pPr>
              <w:pStyle w:val="Style1"/>
              <w:tabs>
                <w:tab w:val="clear" w:pos="9072"/>
              </w:tabs>
              <w:spacing w:line="240" w:lineRule="auto"/>
              <w:rPr>
                <w:rFonts w:cs="Arial"/>
              </w:rPr>
            </w:pPr>
            <w:r>
              <w:rPr>
                <w:rFonts w:cs="Arial"/>
              </w:rPr>
              <w:t>(2.</w:t>
            </w:r>
            <w:r w:rsidRPr="00C67E3F">
              <w:rPr>
                <w:rFonts w:cs="Arial"/>
              </w:rPr>
              <w:t>8</w:t>
            </w:r>
            <w:r>
              <w:rPr>
                <w:rFonts w:cs="Arial"/>
              </w:rPr>
              <w:t xml:space="preserve"> million </w:t>
            </w:r>
            <w:r w:rsidRPr="00C67E3F">
              <w:rPr>
                <w:rFonts w:cs="Arial"/>
              </w:rPr>
              <w:t>kWh</w:t>
            </w:r>
            <w:r>
              <w:rPr>
                <w:rFonts w:cs="Arial"/>
              </w:rPr>
              <w:t>)</w:t>
            </w:r>
          </w:p>
        </w:tc>
        <w:tc>
          <w:tcPr>
            <w:tcW w:w="1417" w:type="dxa"/>
          </w:tcPr>
          <w:p w:rsidR="00A05D13" w:rsidRPr="00C67E3F" w:rsidRDefault="00A05D13" w:rsidP="00A05D13">
            <w:pPr>
              <w:pStyle w:val="Style1"/>
              <w:tabs>
                <w:tab w:val="clear" w:pos="709"/>
                <w:tab w:val="clear" w:pos="9072"/>
                <w:tab w:val="left" w:pos="720"/>
              </w:tabs>
              <w:spacing w:line="240" w:lineRule="auto"/>
              <w:rPr>
                <w:rFonts w:cs="Arial"/>
              </w:rPr>
            </w:pPr>
            <w:r w:rsidRPr="00C67E3F">
              <w:rPr>
                <w:rFonts w:cs="Arial"/>
              </w:rPr>
              <w:t>Fixed-term, Fixed price contract</w:t>
            </w:r>
          </w:p>
        </w:tc>
        <w:tc>
          <w:tcPr>
            <w:tcW w:w="1519" w:type="dxa"/>
          </w:tcPr>
          <w:p w:rsidR="00A05D13" w:rsidRPr="00C67E3F" w:rsidRDefault="00A05D13" w:rsidP="00A05D13">
            <w:pPr>
              <w:pStyle w:val="Style1"/>
              <w:tabs>
                <w:tab w:val="clear" w:pos="709"/>
                <w:tab w:val="clear" w:pos="9072"/>
                <w:tab w:val="left" w:pos="720"/>
              </w:tabs>
              <w:spacing w:line="240" w:lineRule="auto"/>
              <w:rPr>
                <w:rFonts w:cs="Arial"/>
              </w:rPr>
            </w:pPr>
            <w:r>
              <w:rPr>
                <w:rFonts w:cs="Arial"/>
              </w:rPr>
              <w:t>Oct</w:t>
            </w:r>
            <w:r w:rsidRPr="00C67E3F">
              <w:rPr>
                <w:rFonts w:cs="Arial"/>
              </w:rPr>
              <w:t xml:space="preserve"> 201</w:t>
            </w:r>
            <w:r>
              <w:rPr>
                <w:rFonts w:cs="Arial"/>
              </w:rPr>
              <w:t>6</w:t>
            </w:r>
          </w:p>
        </w:tc>
      </w:tr>
    </w:tbl>
    <w:p w:rsidR="00A05D13" w:rsidRPr="006C7096" w:rsidRDefault="00A05D13" w:rsidP="00A05D13">
      <w:pPr>
        <w:pStyle w:val="Style1"/>
        <w:tabs>
          <w:tab w:val="clear" w:pos="709"/>
          <w:tab w:val="clear" w:pos="9072"/>
          <w:tab w:val="left" w:pos="720"/>
        </w:tabs>
        <w:spacing w:line="240" w:lineRule="auto"/>
        <w:ind w:left="644"/>
        <w:rPr>
          <w:rFonts w:cs="Arial"/>
        </w:rPr>
      </w:pPr>
    </w:p>
    <w:p w:rsidR="00C07649" w:rsidRDefault="00A8602F" w:rsidP="00B33158">
      <w:pPr>
        <w:pStyle w:val="Style1"/>
        <w:numPr>
          <w:ilvl w:val="0"/>
          <w:numId w:val="8"/>
        </w:numPr>
        <w:tabs>
          <w:tab w:val="clear" w:pos="709"/>
          <w:tab w:val="clear" w:pos="9072"/>
          <w:tab w:val="left" w:pos="720"/>
        </w:tabs>
        <w:spacing w:line="240" w:lineRule="auto"/>
        <w:rPr>
          <w:rFonts w:cs="Arial"/>
        </w:rPr>
      </w:pPr>
      <w:r>
        <w:rPr>
          <w:rFonts w:cs="Arial"/>
        </w:rPr>
        <w:lastRenderedPageBreak/>
        <w:t>In terms of the Council’s 123 sites being supplied with w</w:t>
      </w:r>
      <w:r w:rsidR="00C07649" w:rsidRPr="00A8602F">
        <w:rPr>
          <w:rFonts w:cs="Arial"/>
        </w:rPr>
        <w:t>ater</w:t>
      </w:r>
      <w:r>
        <w:rPr>
          <w:rFonts w:cs="Arial"/>
        </w:rPr>
        <w:t xml:space="preserve"> (</w:t>
      </w:r>
      <w:r w:rsidR="00C37F26">
        <w:rPr>
          <w:rFonts w:cs="Arial"/>
        </w:rPr>
        <w:t xml:space="preserve">ca </w:t>
      </w:r>
      <w:r w:rsidRPr="00A8602F">
        <w:rPr>
          <w:rFonts w:cs="Arial"/>
        </w:rPr>
        <w:t>£200,000</w:t>
      </w:r>
      <w:r>
        <w:rPr>
          <w:rFonts w:cs="Arial"/>
        </w:rPr>
        <w:t xml:space="preserve"> annual spend</w:t>
      </w:r>
      <w:r w:rsidRPr="00A8602F">
        <w:rPr>
          <w:rFonts w:cs="Arial"/>
        </w:rPr>
        <w:t>)</w:t>
      </w:r>
      <w:r>
        <w:rPr>
          <w:rFonts w:cs="Arial"/>
        </w:rPr>
        <w:t>,</w:t>
      </w:r>
      <w:r w:rsidRPr="00A8602F">
        <w:rPr>
          <w:rFonts w:cs="Arial"/>
        </w:rPr>
        <w:t xml:space="preserve"> currently Thames Water </w:t>
      </w:r>
      <w:r>
        <w:rPr>
          <w:rFonts w:cs="Arial"/>
        </w:rPr>
        <w:t xml:space="preserve">is the </w:t>
      </w:r>
      <w:r w:rsidRPr="00A8602F">
        <w:rPr>
          <w:rFonts w:cs="Arial"/>
        </w:rPr>
        <w:t>only supplier</w:t>
      </w:r>
      <w:r>
        <w:rPr>
          <w:rFonts w:cs="Arial"/>
        </w:rPr>
        <w:t>. However, this</w:t>
      </w:r>
      <w:r w:rsidR="00C07649" w:rsidRPr="00A8602F">
        <w:rPr>
          <w:rFonts w:cs="Arial"/>
        </w:rPr>
        <w:t xml:space="preserve"> will be open</w:t>
      </w:r>
      <w:r>
        <w:rPr>
          <w:rFonts w:cs="Arial"/>
        </w:rPr>
        <w:t>ed up</w:t>
      </w:r>
      <w:r w:rsidR="00C07649" w:rsidRPr="00A8602F">
        <w:rPr>
          <w:rFonts w:cs="Arial"/>
        </w:rPr>
        <w:t xml:space="preserve"> to competition from other water providers from April 2017</w:t>
      </w:r>
      <w:r>
        <w:rPr>
          <w:rFonts w:cs="Arial"/>
        </w:rPr>
        <w:t xml:space="preserve">. This paper </w:t>
      </w:r>
      <w:r w:rsidR="007459D8" w:rsidRPr="00A8602F">
        <w:rPr>
          <w:rFonts w:cs="Arial"/>
        </w:rPr>
        <w:t>recommend</w:t>
      </w:r>
      <w:r>
        <w:rPr>
          <w:rFonts w:cs="Arial"/>
        </w:rPr>
        <w:t>s using the services of a</w:t>
      </w:r>
      <w:r w:rsidR="007459D8" w:rsidRPr="00A8602F">
        <w:rPr>
          <w:rFonts w:cs="Arial"/>
        </w:rPr>
        <w:t xml:space="preserve"> specialist PBO like LASER</w:t>
      </w:r>
      <w:r>
        <w:rPr>
          <w:rFonts w:cs="Arial"/>
        </w:rPr>
        <w:t xml:space="preserve"> to renew water supply contract maximising on opportunities for lower water rates</w:t>
      </w:r>
      <w:r w:rsidR="0042602E" w:rsidRPr="00A8602F">
        <w:rPr>
          <w:rFonts w:cs="Arial"/>
        </w:rPr>
        <w:t>.</w:t>
      </w:r>
    </w:p>
    <w:p w:rsidR="00BE7CE5" w:rsidRDefault="00BE7CE5" w:rsidP="00BE7CE5">
      <w:pPr>
        <w:pStyle w:val="ListParagraph"/>
        <w:rPr>
          <w:rFonts w:cs="Arial"/>
        </w:rPr>
      </w:pPr>
    </w:p>
    <w:p w:rsidR="00D6250C" w:rsidRPr="00D6250C" w:rsidRDefault="00D6250C" w:rsidP="00D6250C">
      <w:pPr>
        <w:rPr>
          <w:rFonts w:cs="Arial"/>
          <w:b/>
        </w:rPr>
      </w:pPr>
      <w:r w:rsidRPr="00D6250C">
        <w:rPr>
          <w:rFonts w:cs="Arial"/>
          <w:b/>
        </w:rPr>
        <w:t>LASER performance</w:t>
      </w:r>
    </w:p>
    <w:p w:rsidR="003816CE" w:rsidRPr="003816CE" w:rsidRDefault="003816CE" w:rsidP="00B33158">
      <w:pPr>
        <w:pStyle w:val="ListParagraph"/>
        <w:numPr>
          <w:ilvl w:val="0"/>
          <w:numId w:val="8"/>
        </w:numPr>
        <w:rPr>
          <w:color w:val="000000"/>
        </w:rPr>
      </w:pPr>
      <w:r w:rsidRPr="003816CE">
        <w:rPr>
          <w:color w:val="000000"/>
        </w:rPr>
        <w:t>The current agreement with LASER</w:t>
      </w:r>
      <w:r w:rsidR="00D90C37">
        <w:rPr>
          <w:rStyle w:val="FootnoteReference"/>
          <w:color w:val="000000"/>
        </w:rPr>
        <w:footnoteReference w:id="1"/>
      </w:r>
      <w:r w:rsidRPr="003816CE">
        <w:rPr>
          <w:color w:val="000000"/>
        </w:rPr>
        <w:t xml:space="preserve"> bulk buying consortium is in place until 30 Sept</w:t>
      </w:r>
      <w:r w:rsidR="00D90C37">
        <w:rPr>
          <w:color w:val="000000"/>
        </w:rPr>
        <w:t>ember</w:t>
      </w:r>
      <w:r w:rsidRPr="003816CE">
        <w:rPr>
          <w:color w:val="000000"/>
        </w:rPr>
        <w:t xml:space="preserve"> 2016. </w:t>
      </w:r>
    </w:p>
    <w:p w:rsidR="003816CE" w:rsidRPr="003816CE" w:rsidRDefault="003816CE" w:rsidP="003816CE">
      <w:pPr>
        <w:pStyle w:val="ListParagraph"/>
      </w:pPr>
    </w:p>
    <w:p w:rsidR="00A445C2" w:rsidRPr="00A445C2" w:rsidRDefault="007459D8" w:rsidP="00B33158">
      <w:pPr>
        <w:pStyle w:val="ListParagraph"/>
        <w:numPr>
          <w:ilvl w:val="0"/>
          <w:numId w:val="8"/>
        </w:numPr>
      </w:pPr>
      <w:r>
        <w:rPr>
          <w:bCs/>
          <w:color w:val="000000"/>
        </w:rPr>
        <w:t>The t</w:t>
      </w:r>
      <w:r w:rsidR="003816CE" w:rsidRPr="003816CE">
        <w:rPr>
          <w:bCs/>
          <w:color w:val="000000"/>
        </w:rPr>
        <w:t xml:space="preserve">otal </w:t>
      </w:r>
      <w:r w:rsidR="00D90C37">
        <w:rPr>
          <w:bCs/>
          <w:color w:val="000000"/>
        </w:rPr>
        <w:t xml:space="preserve">cost for using </w:t>
      </w:r>
      <w:r w:rsidR="003816CE" w:rsidRPr="003816CE">
        <w:rPr>
          <w:bCs/>
          <w:color w:val="000000"/>
        </w:rPr>
        <w:t>LASER across all</w:t>
      </w:r>
      <w:r w:rsidR="00D90C37">
        <w:rPr>
          <w:bCs/>
          <w:color w:val="000000"/>
        </w:rPr>
        <w:t xml:space="preserve"> the Council’s</w:t>
      </w:r>
      <w:r w:rsidR="003816CE" w:rsidRPr="003816CE">
        <w:rPr>
          <w:bCs/>
          <w:color w:val="000000"/>
        </w:rPr>
        <w:t xml:space="preserve"> electricity </w:t>
      </w:r>
      <w:r w:rsidR="00D90C37">
        <w:rPr>
          <w:bCs/>
          <w:color w:val="000000"/>
        </w:rPr>
        <w:t xml:space="preserve">and gas supplies is currently £28,300 per </w:t>
      </w:r>
      <w:r w:rsidR="003816CE" w:rsidRPr="003816CE">
        <w:rPr>
          <w:bCs/>
          <w:color w:val="000000"/>
        </w:rPr>
        <w:t xml:space="preserve">annum </w:t>
      </w:r>
      <w:proofErr w:type="spellStart"/>
      <w:r w:rsidR="00724A47">
        <w:rPr>
          <w:bCs/>
          <w:color w:val="000000"/>
        </w:rPr>
        <w:t>ie</w:t>
      </w:r>
      <w:proofErr w:type="spellEnd"/>
      <w:r w:rsidR="00724A47">
        <w:rPr>
          <w:bCs/>
          <w:color w:val="000000"/>
        </w:rPr>
        <w:t xml:space="preserve"> </w:t>
      </w:r>
      <w:r w:rsidR="008A7F86">
        <w:rPr>
          <w:bCs/>
          <w:color w:val="000000"/>
        </w:rPr>
        <w:t>2% of the council’s</w:t>
      </w:r>
      <w:r w:rsidR="003816CE" w:rsidRPr="003816CE">
        <w:rPr>
          <w:bCs/>
          <w:color w:val="000000"/>
        </w:rPr>
        <w:t xml:space="preserve"> an</w:t>
      </w:r>
      <w:r w:rsidR="00D90C37">
        <w:rPr>
          <w:bCs/>
          <w:color w:val="000000"/>
        </w:rPr>
        <w:t xml:space="preserve">nual spend on these supplies </w:t>
      </w:r>
      <w:r w:rsidR="00CE0C42">
        <w:rPr>
          <w:bCs/>
          <w:color w:val="000000"/>
        </w:rPr>
        <w:t>(</w:t>
      </w:r>
      <w:r w:rsidR="003816CE" w:rsidRPr="003816CE">
        <w:rPr>
          <w:bCs/>
          <w:color w:val="000000"/>
        </w:rPr>
        <w:t>£1.</w:t>
      </w:r>
      <w:r>
        <w:rPr>
          <w:bCs/>
          <w:color w:val="000000"/>
        </w:rPr>
        <w:t>4</w:t>
      </w:r>
      <w:r w:rsidR="003816CE" w:rsidRPr="003816CE">
        <w:rPr>
          <w:bCs/>
          <w:color w:val="000000"/>
        </w:rPr>
        <w:t>m</w:t>
      </w:r>
      <w:r w:rsidR="00CE0C42">
        <w:rPr>
          <w:bCs/>
          <w:color w:val="000000"/>
        </w:rPr>
        <w:t>)</w:t>
      </w:r>
      <w:r w:rsidR="003816CE" w:rsidRPr="003816CE">
        <w:rPr>
          <w:bCs/>
          <w:color w:val="000000"/>
        </w:rPr>
        <w:t>.</w:t>
      </w:r>
      <w:r w:rsidR="00561AC0">
        <w:rPr>
          <w:bCs/>
          <w:color w:val="000000"/>
        </w:rPr>
        <w:t xml:space="preserve"> </w:t>
      </w:r>
    </w:p>
    <w:p w:rsidR="00A445C2" w:rsidRPr="00A445C2" w:rsidRDefault="00A445C2" w:rsidP="00A445C2">
      <w:pPr>
        <w:pStyle w:val="ListParagraph"/>
        <w:rPr>
          <w:bCs/>
          <w:color w:val="000000"/>
        </w:rPr>
      </w:pPr>
    </w:p>
    <w:p w:rsidR="00561AC0" w:rsidRPr="00561AC0" w:rsidRDefault="00561AC0" w:rsidP="00B33158">
      <w:pPr>
        <w:pStyle w:val="ListParagraph"/>
        <w:numPr>
          <w:ilvl w:val="0"/>
          <w:numId w:val="8"/>
        </w:numPr>
      </w:pPr>
      <w:r>
        <w:rPr>
          <w:bCs/>
          <w:color w:val="000000"/>
        </w:rPr>
        <w:t xml:space="preserve">This cost covers </w:t>
      </w:r>
      <w:r w:rsidR="00A445C2">
        <w:rPr>
          <w:bCs/>
          <w:color w:val="000000"/>
        </w:rPr>
        <w:t xml:space="preserve">the </w:t>
      </w:r>
      <w:r>
        <w:rPr>
          <w:bCs/>
          <w:color w:val="000000"/>
        </w:rPr>
        <w:t>management of the flexible purchase arrangement</w:t>
      </w:r>
      <w:r w:rsidR="00A445C2">
        <w:rPr>
          <w:bCs/>
          <w:color w:val="000000"/>
        </w:rPr>
        <w:t xml:space="preserve"> </w:t>
      </w:r>
      <w:r>
        <w:rPr>
          <w:bCs/>
          <w:color w:val="000000"/>
        </w:rPr>
        <w:t>as well as bill validation on the council’s larger energy supplies.</w:t>
      </w:r>
      <w:r w:rsidR="003816CE" w:rsidRPr="003816CE">
        <w:rPr>
          <w:bCs/>
          <w:color w:val="000000"/>
        </w:rPr>
        <w:t xml:space="preserve"> </w:t>
      </w:r>
      <w:r w:rsidR="00F5106E">
        <w:rPr>
          <w:bCs/>
          <w:color w:val="000000"/>
        </w:rPr>
        <w:t xml:space="preserve">This is described as the </w:t>
      </w:r>
      <w:r w:rsidR="00A445C2">
        <w:rPr>
          <w:bCs/>
          <w:color w:val="000000"/>
        </w:rPr>
        <w:t>‘</w:t>
      </w:r>
      <w:r w:rsidR="00F5106E">
        <w:rPr>
          <w:bCs/>
          <w:color w:val="000000"/>
        </w:rPr>
        <w:t xml:space="preserve">Fully </w:t>
      </w:r>
      <w:r w:rsidR="00A445C2">
        <w:rPr>
          <w:bCs/>
          <w:color w:val="000000"/>
        </w:rPr>
        <w:t>M</w:t>
      </w:r>
      <w:r w:rsidR="00F5106E">
        <w:rPr>
          <w:bCs/>
          <w:color w:val="000000"/>
        </w:rPr>
        <w:t xml:space="preserve">anaged </w:t>
      </w:r>
      <w:r w:rsidR="00A445C2">
        <w:rPr>
          <w:bCs/>
          <w:color w:val="000000"/>
        </w:rPr>
        <w:t>P</w:t>
      </w:r>
      <w:r w:rsidR="00F5106E">
        <w:rPr>
          <w:bCs/>
          <w:color w:val="000000"/>
        </w:rPr>
        <w:t>rocurement</w:t>
      </w:r>
      <w:r w:rsidR="00A445C2">
        <w:rPr>
          <w:bCs/>
          <w:color w:val="000000"/>
        </w:rPr>
        <w:t>’</w:t>
      </w:r>
      <w:r w:rsidR="00F5106E">
        <w:rPr>
          <w:bCs/>
          <w:color w:val="000000"/>
        </w:rPr>
        <w:t xml:space="preserve"> option.</w:t>
      </w:r>
    </w:p>
    <w:p w:rsidR="00561AC0" w:rsidRPr="00561AC0" w:rsidRDefault="00561AC0" w:rsidP="00561AC0">
      <w:pPr>
        <w:pStyle w:val="ListParagraph"/>
        <w:rPr>
          <w:bCs/>
          <w:color w:val="000000"/>
        </w:rPr>
      </w:pPr>
    </w:p>
    <w:p w:rsidR="00561AC0" w:rsidRPr="00561AC0" w:rsidRDefault="0028485D" w:rsidP="00B33158">
      <w:pPr>
        <w:pStyle w:val="ListParagraph"/>
        <w:numPr>
          <w:ilvl w:val="0"/>
          <w:numId w:val="8"/>
        </w:numPr>
      </w:pPr>
      <w:r>
        <w:rPr>
          <w:bCs/>
          <w:color w:val="000000"/>
        </w:rPr>
        <w:t xml:space="preserve"> </w:t>
      </w:r>
      <w:r w:rsidR="00561AC0">
        <w:rPr>
          <w:bCs/>
          <w:color w:val="000000"/>
        </w:rPr>
        <w:t>LASER</w:t>
      </w:r>
      <w:r w:rsidR="001B015F">
        <w:rPr>
          <w:bCs/>
          <w:color w:val="000000"/>
        </w:rPr>
        <w:t>’</w:t>
      </w:r>
      <w:r w:rsidR="00561AC0">
        <w:rPr>
          <w:bCs/>
          <w:color w:val="000000"/>
        </w:rPr>
        <w:t>s fees are in line</w:t>
      </w:r>
      <w:r w:rsidR="00A445C2">
        <w:rPr>
          <w:bCs/>
          <w:color w:val="000000"/>
        </w:rPr>
        <w:t xml:space="preserve"> with or lower than</w:t>
      </w:r>
      <w:r w:rsidR="00561AC0">
        <w:rPr>
          <w:bCs/>
          <w:color w:val="000000"/>
        </w:rPr>
        <w:t xml:space="preserve"> other similar PBOs available</w:t>
      </w:r>
      <w:r w:rsidR="00A445C2">
        <w:rPr>
          <w:bCs/>
          <w:color w:val="000000"/>
        </w:rPr>
        <w:t>.</w:t>
      </w:r>
      <w:r w:rsidR="004F000B">
        <w:rPr>
          <w:bCs/>
          <w:color w:val="000000"/>
        </w:rPr>
        <w:t xml:space="preserve"> </w:t>
      </w:r>
      <w:r w:rsidR="00A445C2" w:rsidRPr="004F000B">
        <w:rPr>
          <w:bCs/>
          <w:color w:val="000000"/>
        </w:rPr>
        <w:t>Indicative market testing for other PBO’s resulted in fee estimates of £34,000 per annum and £36,000-£54,000 per annum. LASER compares well with a current fee level</w:t>
      </w:r>
      <w:r w:rsidR="001B015F" w:rsidRPr="004F000B">
        <w:rPr>
          <w:bCs/>
          <w:color w:val="000000"/>
        </w:rPr>
        <w:t xml:space="preserve"> of £28</w:t>
      </w:r>
      <w:r w:rsidR="00A445C2" w:rsidRPr="004F000B">
        <w:rPr>
          <w:bCs/>
          <w:color w:val="000000"/>
        </w:rPr>
        <w:t>,200 per annum to deliver the service</w:t>
      </w:r>
      <w:r w:rsidR="001B015F" w:rsidRPr="004F000B">
        <w:rPr>
          <w:bCs/>
          <w:color w:val="000000"/>
        </w:rPr>
        <w:t xml:space="preserve"> on </w:t>
      </w:r>
      <w:r w:rsidR="00A445C2" w:rsidRPr="004F000B">
        <w:rPr>
          <w:bCs/>
          <w:color w:val="000000"/>
        </w:rPr>
        <w:t>the Council’</w:t>
      </w:r>
      <w:r w:rsidR="001B015F" w:rsidRPr="004F000B">
        <w:rPr>
          <w:bCs/>
          <w:color w:val="000000"/>
        </w:rPr>
        <w:t>s portfolio.</w:t>
      </w:r>
    </w:p>
    <w:p w:rsidR="00561AC0" w:rsidRDefault="00561AC0" w:rsidP="00561AC0">
      <w:pPr>
        <w:pStyle w:val="ListParagraph"/>
      </w:pPr>
    </w:p>
    <w:p w:rsidR="003816CE" w:rsidRDefault="003816CE" w:rsidP="00B33158">
      <w:pPr>
        <w:pStyle w:val="ListParagraph"/>
        <w:numPr>
          <w:ilvl w:val="0"/>
          <w:numId w:val="8"/>
        </w:numPr>
      </w:pPr>
      <w:r w:rsidRPr="003816CE">
        <w:t>In terms of prices returned</w:t>
      </w:r>
      <w:r w:rsidR="008A7F86">
        <w:t xml:space="preserve"> from its energy purchasing provision</w:t>
      </w:r>
      <w:r w:rsidRPr="003816CE">
        <w:t>, LASER has performed well in the market over the years</w:t>
      </w:r>
      <w:r w:rsidR="00A445C2">
        <w:t>, even within</w:t>
      </w:r>
      <w:r w:rsidR="00F5106E">
        <w:t xml:space="preserve"> a relatively stable (downward trending) market where savings margins are lower</w:t>
      </w:r>
      <w:r w:rsidR="00A445C2">
        <w:t>. T</w:t>
      </w:r>
      <w:r w:rsidR="00F5106E">
        <w:t xml:space="preserve">he </w:t>
      </w:r>
      <w:r w:rsidRPr="003816CE">
        <w:t xml:space="preserve">latest </w:t>
      </w:r>
      <w:r w:rsidR="00F5106E">
        <w:t xml:space="preserve">LASER </w:t>
      </w:r>
      <w:r w:rsidRPr="003816CE">
        <w:t>figures available</w:t>
      </w:r>
      <w:r w:rsidR="004F000B">
        <w:t xml:space="preserve"> </w:t>
      </w:r>
      <w:r w:rsidRPr="003816CE">
        <w:t>for Oct</w:t>
      </w:r>
      <w:r w:rsidR="004F000B">
        <w:t>ober</w:t>
      </w:r>
      <w:r w:rsidRPr="003816CE">
        <w:t xml:space="preserve"> 2011 to Sept</w:t>
      </w:r>
      <w:r w:rsidR="004F000B">
        <w:t>ember</w:t>
      </w:r>
      <w:r w:rsidRPr="003816CE">
        <w:t xml:space="preserve"> 2014 contract period </w:t>
      </w:r>
      <w:r w:rsidR="00724A47">
        <w:t xml:space="preserve">are </w:t>
      </w:r>
      <w:r w:rsidRPr="003816CE">
        <w:t>show</w:t>
      </w:r>
      <w:r w:rsidR="00724A47">
        <w:t>n in Appendix 1 of this report.</w:t>
      </w:r>
    </w:p>
    <w:p w:rsidR="004F000B" w:rsidRPr="003816CE" w:rsidRDefault="004F000B" w:rsidP="004F000B"/>
    <w:p w:rsidR="00CC2958" w:rsidRDefault="00F5103B" w:rsidP="00B33158">
      <w:pPr>
        <w:pStyle w:val="ListParagraph"/>
        <w:numPr>
          <w:ilvl w:val="0"/>
          <w:numId w:val="8"/>
        </w:numPr>
      </w:pPr>
      <w:r w:rsidRPr="008A7F86">
        <w:t>Independently</w:t>
      </w:r>
      <w:r w:rsidR="004F000B">
        <w:t>,</w:t>
      </w:r>
      <w:r w:rsidRPr="008A7F86">
        <w:t xml:space="preserve"> a London Energy Partnership report</w:t>
      </w:r>
      <w:r w:rsidR="004F000B">
        <w:rPr>
          <w:rStyle w:val="FootnoteReference"/>
        </w:rPr>
        <w:footnoteReference w:id="2"/>
      </w:r>
      <w:r w:rsidRPr="008A7F86">
        <w:t xml:space="preserve"> evaluated the achieved purchase price with LASER against the average market price </w:t>
      </w:r>
      <w:r w:rsidR="008A7F86" w:rsidRPr="008A7F86">
        <w:t xml:space="preserve">and rated LASER’s performance as “Very good” and “Effective” on the two flexible baskets </w:t>
      </w:r>
      <w:r w:rsidR="007B0425">
        <w:t>for which</w:t>
      </w:r>
      <w:r w:rsidR="008A7F86" w:rsidRPr="008A7F86">
        <w:t xml:space="preserve"> the Council is signed up</w:t>
      </w:r>
      <w:r w:rsidR="004F000B">
        <w:t xml:space="preserve">. </w:t>
      </w:r>
    </w:p>
    <w:p w:rsidR="00CC2958" w:rsidRDefault="00CC2958" w:rsidP="00CC2958"/>
    <w:p w:rsidR="00CC2958" w:rsidRPr="00CC2958" w:rsidRDefault="00CC2958" w:rsidP="00CC2958">
      <w:pPr>
        <w:rPr>
          <w:b/>
        </w:rPr>
      </w:pPr>
      <w:r w:rsidRPr="004B68F8">
        <w:rPr>
          <w:b/>
        </w:rPr>
        <w:t xml:space="preserve">Options </w:t>
      </w:r>
      <w:r w:rsidR="00394E77" w:rsidRPr="004B68F8">
        <w:rPr>
          <w:b/>
        </w:rPr>
        <w:t>a</w:t>
      </w:r>
      <w:r w:rsidRPr="004B68F8">
        <w:rPr>
          <w:b/>
        </w:rPr>
        <w:t>ppraisal</w:t>
      </w:r>
    </w:p>
    <w:p w:rsidR="00753399" w:rsidRDefault="00AA3B1A" w:rsidP="00B33158">
      <w:pPr>
        <w:pStyle w:val="ListParagraph"/>
        <w:numPr>
          <w:ilvl w:val="0"/>
          <w:numId w:val="8"/>
        </w:numPr>
      </w:pPr>
      <w:r>
        <w:t xml:space="preserve">In seeking to review and renew the Council’s energy (and now </w:t>
      </w:r>
      <w:r w:rsidR="001B015F">
        <w:t>water from April 2017)</w:t>
      </w:r>
      <w:r w:rsidR="008B793D">
        <w:t xml:space="preserve"> contracts </w:t>
      </w:r>
      <w:r>
        <w:t>the following options are presented</w:t>
      </w:r>
      <w:r w:rsidR="00753399">
        <w:t xml:space="preserve">: </w:t>
      </w:r>
    </w:p>
    <w:p w:rsidR="00CC2958" w:rsidRDefault="00C1766C" w:rsidP="00753399">
      <w:pPr>
        <w:pStyle w:val="ListParagraph"/>
        <w:numPr>
          <w:ilvl w:val="1"/>
          <w:numId w:val="16"/>
        </w:numPr>
      </w:pPr>
      <w:r w:rsidRPr="00753399">
        <w:rPr>
          <w:b/>
        </w:rPr>
        <w:t>Do nothing</w:t>
      </w:r>
      <w:r>
        <w:t xml:space="preserve"> </w:t>
      </w:r>
    </w:p>
    <w:p w:rsidR="00CC2958" w:rsidRDefault="00C1766C" w:rsidP="00753399">
      <w:pPr>
        <w:pStyle w:val="ListParagraph"/>
        <w:numPr>
          <w:ilvl w:val="1"/>
          <w:numId w:val="16"/>
        </w:numPr>
      </w:pPr>
      <w:r w:rsidRPr="00753399">
        <w:rPr>
          <w:b/>
        </w:rPr>
        <w:t>Run a procurement process in-house</w:t>
      </w:r>
      <w:r>
        <w:t xml:space="preserve"> </w:t>
      </w:r>
    </w:p>
    <w:p w:rsidR="00753399" w:rsidRDefault="00C1766C" w:rsidP="00753399">
      <w:pPr>
        <w:pStyle w:val="ListParagraph"/>
        <w:numPr>
          <w:ilvl w:val="1"/>
          <w:numId w:val="16"/>
        </w:numPr>
      </w:pPr>
      <w:r w:rsidRPr="00753399">
        <w:rPr>
          <w:b/>
        </w:rPr>
        <w:t>Use a public (professional) buying organisation (PBO) or third party intermediary (TPI) buying organisation</w:t>
      </w:r>
      <w:r w:rsidR="003D7861">
        <w:t xml:space="preserve">. </w:t>
      </w:r>
    </w:p>
    <w:p w:rsidR="00C1766C" w:rsidRDefault="00C1766C" w:rsidP="00C1766C"/>
    <w:p w:rsidR="00F5106E" w:rsidRPr="008B793D" w:rsidRDefault="00606146" w:rsidP="00B33158">
      <w:pPr>
        <w:pStyle w:val="ListParagraph"/>
        <w:numPr>
          <w:ilvl w:val="0"/>
          <w:numId w:val="8"/>
        </w:numPr>
        <w:rPr>
          <w:b/>
        </w:rPr>
      </w:pPr>
      <w:r>
        <w:t xml:space="preserve">A detailed assessment of the above options </w:t>
      </w:r>
      <w:r w:rsidR="00E63C9C">
        <w:t>has been carried out (See</w:t>
      </w:r>
      <w:r w:rsidR="000174C1">
        <w:t xml:space="preserve"> Energy Procurement Strategy, </w:t>
      </w:r>
      <w:r w:rsidR="00E63C9C">
        <w:t>Background paper), the headlines of which are below.</w:t>
      </w:r>
    </w:p>
    <w:p w:rsidR="008B793D" w:rsidRPr="00434E77" w:rsidRDefault="008B793D" w:rsidP="008B793D">
      <w:pPr>
        <w:pStyle w:val="ListParagraph"/>
        <w:ind w:left="644"/>
        <w:rPr>
          <w:b/>
        </w:rPr>
      </w:pPr>
    </w:p>
    <w:p w:rsidR="0052781F" w:rsidRPr="008B793D" w:rsidRDefault="00434E77" w:rsidP="00B33158">
      <w:pPr>
        <w:pStyle w:val="ListParagraph"/>
        <w:numPr>
          <w:ilvl w:val="0"/>
          <w:numId w:val="8"/>
        </w:numPr>
        <w:rPr>
          <w:b/>
        </w:rPr>
      </w:pPr>
      <w:r>
        <w:t>In summary</w:t>
      </w:r>
      <w:r w:rsidR="001B015F">
        <w:t>, d</w:t>
      </w:r>
      <w:r>
        <w:t xml:space="preserve">oing nothing is not an option as this would mean that the council would slip into </w:t>
      </w:r>
      <w:r w:rsidR="0052781F">
        <w:t xml:space="preserve">very expensive </w:t>
      </w:r>
      <w:r>
        <w:t xml:space="preserve">deemed rates/out of contract pricing arrangements with its energy suppliers without an energy contract in place. </w:t>
      </w:r>
    </w:p>
    <w:p w:rsidR="008B793D" w:rsidRPr="0052781F" w:rsidRDefault="008B793D" w:rsidP="008B793D">
      <w:pPr>
        <w:pStyle w:val="ListParagraph"/>
        <w:ind w:left="644"/>
        <w:rPr>
          <w:b/>
        </w:rPr>
      </w:pPr>
    </w:p>
    <w:p w:rsidR="0052781F" w:rsidRPr="0052781F" w:rsidRDefault="00434E77" w:rsidP="00B33158">
      <w:pPr>
        <w:pStyle w:val="ListParagraph"/>
        <w:numPr>
          <w:ilvl w:val="0"/>
          <w:numId w:val="8"/>
        </w:numPr>
        <w:rPr>
          <w:b/>
        </w:rPr>
      </w:pPr>
      <w:r>
        <w:t>Running a procurement process in-house would both be time</w:t>
      </w:r>
      <w:r w:rsidR="008B793D">
        <w:t>-</w:t>
      </w:r>
      <w:r>
        <w:t xml:space="preserve">consuming and expensive </w:t>
      </w:r>
      <w:r w:rsidR="001B015F">
        <w:t xml:space="preserve">requiring specialist energy purchasing expertise and having to run as an </w:t>
      </w:r>
      <w:r w:rsidR="007B0425">
        <w:t>Official Journal of the European Union (</w:t>
      </w:r>
      <w:r w:rsidR="001B015F">
        <w:t>OJEU</w:t>
      </w:r>
      <w:r w:rsidR="007B0425">
        <w:t>)</w:t>
      </w:r>
      <w:r w:rsidR="001B015F">
        <w:t xml:space="preserve"> tendered process. T</w:t>
      </w:r>
      <w:r>
        <w:t xml:space="preserve">he Council </w:t>
      </w:r>
      <w:r w:rsidR="001B015F">
        <w:t xml:space="preserve">also </w:t>
      </w:r>
      <w:r>
        <w:t xml:space="preserve">does not have </w:t>
      </w:r>
      <w:r w:rsidR="001B015F">
        <w:t>the large scale of purchasing</w:t>
      </w:r>
      <w:r>
        <w:t xml:space="preserve"> </w:t>
      </w:r>
      <w:r w:rsidR="001B015F">
        <w:t>volume</w:t>
      </w:r>
      <w:r>
        <w:t xml:space="preserve"> to warrant setting up its own energy contracts</w:t>
      </w:r>
      <w:r w:rsidR="001B015F">
        <w:t xml:space="preserve"> via a flexible purchasing arrangement</w:t>
      </w:r>
      <w:r w:rsidR="00AF2CDE">
        <w:t>.</w:t>
      </w:r>
      <w:r w:rsidR="001B015F">
        <w:t xml:space="preserve"> </w:t>
      </w:r>
      <w:r w:rsidR="00AF2CDE">
        <w:t xml:space="preserve">It </w:t>
      </w:r>
      <w:r w:rsidR="001B015F">
        <w:t xml:space="preserve">would </w:t>
      </w:r>
      <w:r w:rsidR="00AF2CDE">
        <w:t xml:space="preserve">also </w:t>
      </w:r>
      <w:r w:rsidR="001B015F">
        <w:t xml:space="preserve">not have the buying </w:t>
      </w:r>
      <w:r w:rsidR="00E63C9C">
        <w:t xml:space="preserve">power </w:t>
      </w:r>
      <w:r w:rsidR="001B015F">
        <w:t>that a PBO or similar purchasing consortia would offer.</w:t>
      </w:r>
    </w:p>
    <w:p w:rsidR="0052781F" w:rsidRPr="00C56064" w:rsidRDefault="00434E77" w:rsidP="00C56064">
      <w:pPr>
        <w:ind w:left="284"/>
        <w:rPr>
          <w:b/>
        </w:rPr>
      </w:pPr>
      <w:r>
        <w:t xml:space="preserve"> </w:t>
      </w:r>
    </w:p>
    <w:p w:rsidR="00434E77" w:rsidRPr="00F5106E" w:rsidRDefault="00434E77" w:rsidP="00B33158">
      <w:pPr>
        <w:pStyle w:val="ListParagraph"/>
        <w:numPr>
          <w:ilvl w:val="0"/>
          <w:numId w:val="8"/>
        </w:numPr>
        <w:rPr>
          <w:b/>
        </w:rPr>
      </w:pPr>
      <w:r>
        <w:t>Procuring energy th</w:t>
      </w:r>
      <w:r w:rsidR="001B015F">
        <w:t>rough a PBO</w:t>
      </w:r>
      <w:r>
        <w:t xml:space="preserve"> is regarded as a best practice approach to mitigate energy price risk </w:t>
      </w:r>
      <w:r w:rsidR="001B015F">
        <w:t xml:space="preserve">in </w:t>
      </w:r>
      <w:r>
        <w:t>an increasingly volatile and complex energy market and is the recommended option for OCC to pursue.</w:t>
      </w:r>
      <w:r w:rsidR="00C56064">
        <w:t xml:space="preserve"> PBOs are also not-for-profit organisations geared for working with public sector organisations and the constraints they have to operate in. They also present a low-risk OJEU compliant procurement route to market.</w:t>
      </w:r>
    </w:p>
    <w:p w:rsidR="00F5106E" w:rsidRPr="00F5106E" w:rsidRDefault="00F5106E" w:rsidP="00F5106E">
      <w:pPr>
        <w:pStyle w:val="ListParagraph"/>
        <w:rPr>
          <w:b/>
        </w:rPr>
      </w:pPr>
    </w:p>
    <w:p w:rsidR="00F5106E" w:rsidRPr="00F5106E" w:rsidRDefault="00606146" w:rsidP="00F5106E">
      <w:pPr>
        <w:rPr>
          <w:b/>
        </w:rPr>
      </w:pPr>
      <w:r w:rsidRPr="00F5106E">
        <w:rPr>
          <w:b/>
        </w:rPr>
        <w:t>Preferred option</w:t>
      </w:r>
      <w:r w:rsidR="00EC7B5C">
        <w:rPr>
          <w:b/>
        </w:rPr>
        <w:t xml:space="preserve"> and benefits</w:t>
      </w:r>
    </w:p>
    <w:p w:rsidR="00F5106E" w:rsidRDefault="0051489B" w:rsidP="00B33158">
      <w:pPr>
        <w:pStyle w:val="ListParagraph"/>
        <w:numPr>
          <w:ilvl w:val="0"/>
          <w:numId w:val="8"/>
        </w:numPr>
      </w:pPr>
      <w:r>
        <w:t>It is recommended to continue using the services of a PBO</w:t>
      </w:r>
      <w:r w:rsidR="00C570D7">
        <w:t xml:space="preserve"> to procure the Council’s energy. G</w:t>
      </w:r>
      <w:r w:rsidR="00F5106E">
        <w:t>iven its good track record and level of service provided to OCC over the past three framework periods</w:t>
      </w:r>
      <w:r w:rsidR="00AF2CDE">
        <w:t xml:space="preserve"> (12 years)</w:t>
      </w:r>
      <w:r w:rsidR="00F5106E">
        <w:t>, i</w:t>
      </w:r>
      <w:r w:rsidR="00606146">
        <w:t xml:space="preserve">t is recommended to continue using LASER </w:t>
      </w:r>
      <w:r w:rsidR="00F5106E">
        <w:t>(a not-for-profit</w:t>
      </w:r>
      <w:r w:rsidR="00606146">
        <w:t xml:space="preserve"> PBO</w:t>
      </w:r>
      <w:r w:rsidR="00F5106E">
        <w:t>)</w:t>
      </w:r>
      <w:r w:rsidR="00606146">
        <w:t xml:space="preserve"> to purchase energy (and water from April 2017) on behalf of the Council. </w:t>
      </w:r>
      <w:r w:rsidR="00535775">
        <w:t xml:space="preserve"> </w:t>
      </w:r>
      <w:r w:rsidR="00A516B3">
        <w:t>The Energy Procurement strategy background paper provides further detail on this rationale and also assessment of other similar PBOs which provide similar services for comparable fees.</w:t>
      </w:r>
    </w:p>
    <w:p w:rsidR="00F5106E" w:rsidRDefault="00F5106E" w:rsidP="00F5106E">
      <w:pPr>
        <w:pStyle w:val="ListParagraph"/>
      </w:pPr>
    </w:p>
    <w:p w:rsidR="0028485D" w:rsidRDefault="00606146" w:rsidP="00B33158">
      <w:pPr>
        <w:pStyle w:val="ListParagraph"/>
        <w:numPr>
          <w:ilvl w:val="0"/>
          <w:numId w:val="8"/>
        </w:numPr>
      </w:pPr>
      <w:r>
        <w:t>However it is proposed to move from a previously Fully Managed procurement arrangement</w:t>
      </w:r>
      <w:r w:rsidR="003376A0">
        <w:t xml:space="preserve"> on its larger supplies -</w:t>
      </w:r>
      <w:r>
        <w:t xml:space="preserve"> where larger energy consuming site bills are validated by Laser (</w:t>
      </w:r>
      <w:r w:rsidR="0028485D">
        <w:t xml:space="preserve">at a cost of </w:t>
      </w:r>
      <w:r>
        <w:t>ca £28k</w:t>
      </w:r>
      <w:r w:rsidR="0028485D">
        <w:t xml:space="preserve"> per year</w:t>
      </w:r>
      <w:r>
        <w:t xml:space="preserve"> or 2% of annual energy spend) to a procurement only option where the Council carries out its own bill validation using its own</w:t>
      </w:r>
      <w:r w:rsidR="00EB3154">
        <w:t xml:space="preserve"> in-house</w:t>
      </w:r>
      <w:r>
        <w:t xml:space="preserve"> developed expertise</w:t>
      </w:r>
      <w:r w:rsidR="007B034E">
        <w:t>. This will reduce LASER costs to around</w:t>
      </w:r>
      <w:r>
        <w:t xml:space="preserve"> £17</w:t>
      </w:r>
      <w:r w:rsidR="00561AC0">
        <w:t>k</w:t>
      </w:r>
      <w:r w:rsidR="0028485D">
        <w:t xml:space="preserve"> per year</w:t>
      </w:r>
      <w:r w:rsidR="007B034E">
        <w:t xml:space="preserve"> – saving ca £11k in </w:t>
      </w:r>
      <w:r w:rsidR="00561AC0">
        <w:t xml:space="preserve">procurement charges. </w:t>
      </w:r>
    </w:p>
    <w:p w:rsidR="0028485D" w:rsidRDefault="0028485D" w:rsidP="0028485D">
      <w:pPr>
        <w:pStyle w:val="ListParagraph"/>
      </w:pPr>
    </w:p>
    <w:p w:rsidR="000174C1" w:rsidRDefault="0028485D" w:rsidP="00B33158">
      <w:pPr>
        <w:pStyle w:val="Style1"/>
        <w:numPr>
          <w:ilvl w:val="0"/>
          <w:numId w:val="8"/>
        </w:numPr>
        <w:tabs>
          <w:tab w:val="clear" w:pos="9072"/>
        </w:tabs>
        <w:spacing w:line="240" w:lineRule="auto"/>
      </w:pPr>
      <w:r>
        <w:t xml:space="preserve">This is </w:t>
      </w:r>
      <w:r w:rsidR="00E63C9C">
        <w:t xml:space="preserve">possible as </w:t>
      </w:r>
      <w:r>
        <w:t>the Council’s energy team has now established the expertise to validate energy and water bills in house using the Sigma Energy software.</w:t>
      </w:r>
      <w:r w:rsidR="00535775">
        <w:t xml:space="preserve"> </w:t>
      </w:r>
      <w:r>
        <w:t>This, along with other energy/water management services, are being explored as a revenue generating stream for the council where the team</w:t>
      </w:r>
      <w:r w:rsidR="00142633">
        <w:t>’</w:t>
      </w:r>
      <w:r>
        <w:t>s services are offered to other public sector organisations or local SMEs.</w:t>
      </w:r>
      <w:r w:rsidR="003376A0">
        <w:t xml:space="preserve"> </w:t>
      </w:r>
    </w:p>
    <w:p w:rsidR="00F31660" w:rsidRDefault="00F31660" w:rsidP="00F31660">
      <w:pPr>
        <w:pStyle w:val="Style1"/>
        <w:tabs>
          <w:tab w:val="clear" w:pos="9072"/>
        </w:tabs>
        <w:spacing w:line="240" w:lineRule="auto"/>
        <w:ind w:left="720"/>
      </w:pPr>
    </w:p>
    <w:p w:rsidR="0067713D" w:rsidRDefault="00F5106E" w:rsidP="00B33158">
      <w:pPr>
        <w:pStyle w:val="ListParagraph"/>
        <w:numPr>
          <w:ilvl w:val="0"/>
          <w:numId w:val="8"/>
        </w:numPr>
        <w:spacing w:after="16"/>
      </w:pPr>
      <w:r>
        <w:t>LASER is now able to provide an increased number of purchasing options (</w:t>
      </w:r>
      <w:r w:rsidR="005E342C">
        <w:t xml:space="preserve">so called </w:t>
      </w:r>
      <w:r>
        <w:t xml:space="preserve">Energy baskets) which further balance cost against </w:t>
      </w:r>
      <w:r>
        <w:lastRenderedPageBreak/>
        <w:t xml:space="preserve">risk. Previously two options were available – the Purchase in Advance </w:t>
      </w:r>
      <w:r w:rsidR="008F58C7">
        <w:t xml:space="preserve">(PIA) </w:t>
      </w:r>
      <w:proofErr w:type="gramStart"/>
      <w:r>
        <w:t>option</w:t>
      </w:r>
      <w:proofErr w:type="gramEnd"/>
      <w:r>
        <w:t xml:space="preserve"> </w:t>
      </w:r>
      <w:r w:rsidR="009D179E">
        <w:t xml:space="preserve">- </w:t>
      </w:r>
      <w:r>
        <w:t xml:space="preserve">which the council currently uses </w:t>
      </w:r>
      <w:r w:rsidR="009D179E">
        <w:t xml:space="preserve">- </w:t>
      </w:r>
      <w:r>
        <w:t>and the Purchase within Period</w:t>
      </w:r>
      <w:r w:rsidR="008F58C7">
        <w:t xml:space="preserve"> (PWP)</w:t>
      </w:r>
      <w:r>
        <w:t xml:space="preserve"> option. Four additional baskets are now offered depending on the appetite for risk and the nature of the energy supplies.</w:t>
      </w:r>
      <w:r w:rsidR="008F58C7">
        <w:t xml:space="preserve"> See</w:t>
      </w:r>
      <w:r w:rsidR="007B034E">
        <w:t xml:space="preserve"> the</w:t>
      </w:r>
      <w:r w:rsidR="008F58C7">
        <w:t xml:space="preserve"> </w:t>
      </w:r>
      <w:r w:rsidR="000174C1">
        <w:t>Energy Procurement Strategy Background paper</w:t>
      </w:r>
      <w:r w:rsidR="008F58C7">
        <w:t xml:space="preserve"> for more detail on the options</w:t>
      </w:r>
      <w:r w:rsidR="007B034E">
        <w:t xml:space="preserve"> available</w:t>
      </w:r>
      <w:r w:rsidR="008F58C7">
        <w:t xml:space="preserve">. </w:t>
      </w:r>
    </w:p>
    <w:p w:rsidR="000174C1" w:rsidRDefault="000174C1" w:rsidP="000174C1">
      <w:pPr>
        <w:pStyle w:val="ListParagraph"/>
        <w:rPr>
          <w:rFonts w:cs="Arial"/>
        </w:rPr>
      </w:pPr>
    </w:p>
    <w:p w:rsidR="009D179E" w:rsidRDefault="00AA6B7C" w:rsidP="00B33158">
      <w:pPr>
        <w:pStyle w:val="ListParagraph"/>
        <w:numPr>
          <w:ilvl w:val="0"/>
          <w:numId w:val="8"/>
        </w:numPr>
        <w:rPr>
          <w:rFonts w:cs="Arial"/>
        </w:rPr>
      </w:pPr>
      <w:r w:rsidRPr="003D6955">
        <w:rPr>
          <w:rFonts w:cs="Arial"/>
        </w:rPr>
        <w:t xml:space="preserve">Discussion will be carried out through </w:t>
      </w:r>
      <w:r w:rsidR="0067713D" w:rsidRPr="003D6955">
        <w:rPr>
          <w:rFonts w:cs="Arial"/>
        </w:rPr>
        <w:t xml:space="preserve">the </w:t>
      </w:r>
      <w:r w:rsidRPr="003D6955">
        <w:rPr>
          <w:rFonts w:cs="Arial"/>
        </w:rPr>
        <w:t xml:space="preserve">regular </w:t>
      </w:r>
      <w:r w:rsidR="0067713D" w:rsidRPr="003D6955">
        <w:rPr>
          <w:rFonts w:cs="Arial"/>
        </w:rPr>
        <w:t>quarterly meetings between Energy</w:t>
      </w:r>
      <w:r w:rsidR="003C47FF" w:rsidRPr="003D6955">
        <w:rPr>
          <w:rFonts w:cs="Arial"/>
        </w:rPr>
        <w:t xml:space="preserve"> </w:t>
      </w:r>
      <w:r w:rsidR="0067713D" w:rsidRPr="003D6955">
        <w:rPr>
          <w:rFonts w:cs="Arial"/>
        </w:rPr>
        <w:t>&amp;</w:t>
      </w:r>
      <w:r w:rsidR="003C47FF" w:rsidRPr="003D6955">
        <w:rPr>
          <w:rFonts w:cs="Arial"/>
        </w:rPr>
        <w:t xml:space="preserve"> </w:t>
      </w:r>
      <w:r w:rsidR="0067713D" w:rsidRPr="003D6955">
        <w:rPr>
          <w:rFonts w:cs="Arial"/>
        </w:rPr>
        <w:t xml:space="preserve">Natural resources and </w:t>
      </w:r>
      <w:r w:rsidR="00254BA9">
        <w:rPr>
          <w:rFonts w:cs="Arial"/>
        </w:rPr>
        <w:t>the Council</w:t>
      </w:r>
      <w:r w:rsidR="000B487A">
        <w:rPr>
          <w:rFonts w:cs="Arial"/>
        </w:rPr>
        <w:t>’</w:t>
      </w:r>
      <w:r w:rsidR="00254BA9">
        <w:rPr>
          <w:rFonts w:cs="Arial"/>
        </w:rPr>
        <w:t xml:space="preserve">s </w:t>
      </w:r>
      <w:proofErr w:type="gramStart"/>
      <w:r w:rsidR="00B269D1" w:rsidRPr="003D6955">
        <w:rPr>
          <w:rFonts w:cs="Arial"/>
        </w:rPr>
        <w:t>Financial</w:t>
      </w:r>
      <w:proofErr w:type="gramEnd"/>
      <w:r w:rsidR="00B269D1" w:rsidRPr="003D6955">
        <w:rPr>
          <w:rFonts w:cs="Arial"/>
        </w:rPr>
        <w:t xml:space="preserve"> services </w:t>
      </w:r>
      <w:r w:rsidR="00254BA9">
        <w:rPr>
          <w:rFonts w:cs="Arial"/>
        </w:rPr>
        <w:t>team</w:t>
      </w:r>
      <w:r w:rsidR="003C47FF" w:rsidRPr="003D6955">
        <w:rPr>
          <w:rFonts w:cs="Arial"/>
        </w:rPr>
        <w:t xml:space="preserve"> and a decision made jointly on the most appropriate </w:t>
      </w:r>
      <w:r w:rsidR="009D643B" w:rsidRPr="003D6955">
        <w:rPr>
          <w:rFonts w:cs="Arial"/>
        </w:rPr>
        <w:t xml:space="preserve">energy basket to select during each annual framework period. Six </w:t>
      </w:r>
      <w:proofErr w:type="spellStart"/>
      <w:r w:rsidR="009D643B" w:rsidRPr="003D6955">
        <w:rPr>
          <w:rFonts w:cs="Arial"/>
        </w:rPr>
        <w:t>month’s notice</w:t>
      </w:r>
      <w:proofErr w:type="spellEnd"/>
      <w:r w:rsidR="009D643B" w:rsidRPr="003D6955">
        <w:rPr>
          <w:rFonts w:cs="Arial"/>
        </w:rPr>
        <w:t xml:space="preserve"> ahead of the subsequent framework cycle (Oct to Sept) is required if OCC wants to move any supplies to an alternative energy basket</w:t>
      </w:r>
      <w:r w:rsidR="005E1816">
        <w:rPr>
          <w:rFonts w:cs="Arial"/>
        </w:rPr>
        <w:t>.</w:t>
      </w:r>
      <w:r w:rsidR="009D643B" w:rsidRPr="003D6955">
        <w:rPr>
          <w:rFonts w:cs="Arial"/>
        </w:rPr>
        <w:t xml:space="preserve"> </w:t>
      </w:r>
      <w:r w:rsidR="005E1816">
        <w:rPr>
          <w:rFonts w:cs="Arial"/>
        </w:rPr>
        <w:t>Therefore</w:t>
      </w:r>
      <w:r w:rsidR="009D643B" w:rsidRPr="003D6955">
        <w:rPr>
          <w:rFonts w:cs="Arial"/>
        </w:rPr>
        <w:t xml:space="preserve"> decisions would need to be made by no later than 31 March in each year</w:t>
      </w:r>
      <w:r w:rsidR="00DF771F" w:rsidRPr="003D6955">
        <w:rPr>
          <w:rFonts w:cs="Arial"/>
        </w:rPr>
        <w:t xml:space="preserve"> of the four year framework contract</w:t>
      </w:r>
      <w:r w:rsidR="009D643B" w:rsidRPr="003D6955">
        <w:rPr>
          <w:rFonts w:cs="Arial"/>
        </w:rPr>
        <w:t>.</w:t>
      </w:r>
    </w:p>
    <w:p w:rsidR="009D179E" w:rsidRPr="003D6955" w:rsidRDefault="009D179E" w:rsidP="009D179E">
      <w:pPr>
        <w:pStyle w:val="ListParagraph"/>
        <w:rPr>
          <w:rFonts w:cs="Arial"/>
        </w:rPr>
      </w:pPr>
    </w:p>
    <w:p w:rsidR="00753399" w:rsidRPr="003D6955" w:rsidRDefault="00753399" w:rsidP="00B33158">
      <w:pPr>
        <w:pStyle w:val="ListParagraph"/>
        <w:numPr>
          <w:ilvl w:val="0"/>
          <w:numId w:val="8"/>
        </w:numPr>
        <w:rPr>
          <w:rFonts w:cs="Arial"/>
        </w:rPr>
      </w:pPr>
      <w:r w:rsidRPr="003D6955">
        <w:rPr>
          <w:rFonts w:cs="Arial"/>
        </w:rPr>
        <w:t>For quarterly billed, smaller consuming sites fixed term fixed price contracts remain the most appropriate purchasing option given the smaller volumes of consumption and lower price risk involved.</w:t>
      </w:r>
    </w:p>
    <w:p w:rsidR="00084CF6" w:rsidRPr="003D6955" w:rsidRDefault="00084CF6" w:rsidP="00084CF6">
      <w:pPr>
        <w:pStyle w:val="ListParagraph"/>
        <w:rPr>
          <w:rFonts w:cs="Arial"/>
        </w:rPr>
      </w:pPr>
    </w:p>
    <w:p w:rsidR="00084CF6" w:rsidRPr="003D6955" w:rsidRDefault="00084CF6" w:rsidP="00084CF6">
      <w:pPr>
        <w:rPr>
          <w:rFonts w:cs="Arial"/>
          <w:b/>
        </w:rPr>
      </w:pPr>
      <w:r w:rsidRPr="003D6955">
        <w:rPr>
          <w:rFonts w:cs="Arial"/>
          <w:b/>
        </w:rPr>
        <w:t>Legal issues</w:t>
      </w:r>
    </w:p>
    <w:p w:rsidR="00A550DA" w:rsidRPr="00466EEA" w:rsidRDefault="00CB28CC" w:rsidP="00B33158">
      <w:pPr>
        <w:pStyle w:val="Default"/>
        <w:numPr>
          <w:ilvl w:val="0"/>
          <w:numId w:val="8"/>
        </w:numPr>
        <w:rPr>
          <w:rFonts w:ascii="Arial" w:hAnsi="Arial" w:cs="Arial"/>
        </w:rPr>
      </w:pPr>
      <w:r w:rsidRPr="00466EEA">
        <w:rPr>
          <w:rFonts w:ascii="Arial" w:hAnsi="Arial" w:cs="Arial"/>
        </w:rPr>
        <w:t>Kent County Council (KCC) is the ‘Contracting Authority’ for the flexible energy supply contracts operated by LASER. The energy supply contracts are procured through OJEU compliant tender processes. KCC is a ‘Central Purchasing Body’ (‘CPB’), as specified in the Public Contract Regulations 2006. As such, other public sector bodies are able to use the energy supply contracts without having to run separate OJEU tender processes for either the appointment of energy suppliers or LASER’s contract management services. An ‘Open Procedure’ procurement process, in accordance with European Combined Procurement Directive 2004/18/EC, has been utilised for the tender and award of flexible energy supply contracts for the period October 2016 – September 2020.</w:t>
      </w:r>
      <w:r w:rsidR="003D3D5F" w:rsidRPr="00466EEA">
        <w:rPr>
          <w:rFonts w:ascii="Arial" w:hAnsi="Arial" w:cs="Arial"/>
        </w:rPr>
        <w:t xml:space="preserve"> </w:t>
      </w:r>
    </w:p>
    <w:p w:rsidR="00EA4695" w:rsidRPr="003D6955" w:rsidRDefault="00EA4695" w:rsidP="00EA4695">
      <w:pPr>
        <w:pStyle w:val="Default"/>
        <w:rPr>
          <w:rFonts w:ascii="Arial" w:hAnsi="Arial" w:cs="Arial"/>
        </w:rPr>
      </w:pPr>
    </w:p>
    <w:p w:rsidR="00EA4695" w:rsidRPr="003D6955" w:rsidRDefault="00EA4695" w:rsidP="00EA4695">
      <w:pPr>
        <w:rPr>
          <w:rFonts w:cs="Arial"/>
          <w:b/>
        </w:rPr>
      </w:pPr>
      <w:r w:rsidRPr="003D6955">
        <w:rPr>
          <w:rFonts w:cs="Arial"/>
          <w:b/>
        </w:rPr>
        <w:t>Financial Issues</w:t>
      </w:r>
    </w:p>
    <w:p w:rsidR="00EA4695" w:rsidRPr="003D6955" w:rsidRDefault="00AA6B7C" w:rsidP="00B33158">
      <w:pPr>
        <w:pStyle w:val="Default"/>
        <w:numPr>
          <w:ilvl w:val="0"/>
          <w:numId w:val="8"/>
        </w:numPr>
        <w:rPr>
          <w:rFonts w:ascii="Arial" w:hAnsi="Arial" w:cs="Arial"/>
        </w:rPr>
      </w:pPr>
      <w:r w:rsidRPr="003D6955">
        <w:rPr>
          <w:rFonts w:ascii="Arial" w:hAnsi="Arial" w:cs="Arial"/>
        </w:rPr>
        <w:t>The</w:t>
      </w:r>
      <w:r w:rsidR="00CB28CC">
        <w:rPr>
          <w:rFonts w:ascii="Arial" w:hAnsi="Arial" w:cs="Arial"/>
        </w:rPr>
        <w:t xml:space="preserve"> </w:t>
      </w:r>
      <w:r w:rsidR="00BA06F6">
        <w:rPr>
          <w:rFonts w:ascii="Arial" w:hAnsi="Arial" w:cs="Arial"/>
        </w:rPr>
        <w:t>Council</w:t>
      </w:r>
      <w:r w:rsidR="00D926C6">
        <w:rPr>
          <w:rFonts w:ascii="Arial" w:hAnsi="Arial" w:cs="Arial"/>
        </w:rPr>
        <w:t>’</w:t>
      </w:r>
      <w:r w:rsidR="00BA06F6">
        <w:rPr>
          <w:rFonts w:ascii="Arial" w:hAnsi="Arial" w:cs="Arial"/>
        </w:rPr>
        <w:t>s F</w:t>
      </w:r>
      <w:r w:rsidRPr="003D6955">
        <w:rPr>
          <w:rFonts w:ascii="Arial" w:hAnsi="Arial" w:cs="Arial"/>
        </w:rPr>
        <w:t xml:space="preserve">inance </w:t>
      </w:r>
      <w:r w:rsidR="00BA06F6">
        <w:rPr>
          <w:rFonts w:ascii="Arial" w:hAnsi="Arial" w:cs="Arial"/>
        </w:rPr>
        <w:t>Te</w:t>
      </w:r>
      <w:r w:rsidRPr="003D6955">
        <w:rPr>
          <w:rFonts w:ascii="Arial" w:hAnsi="Arial" w:cs="Arial"/>
        </w:rPr>
        <w:t xml:space="preserve">am will be required to engage in discussion on the suitability of the various basket options and overall portfolio performance through regular quarterly meeting between the </w:t>
      </w:r>
      <w:r w:rsidR="00BA06F6">
        <w:rPr>
          <w:rFonts w:ascii="Arial" w:hAnsi="Arial" w:cs="Arial"/>
        </w:rPr>
        <w:t>F</w:t>
      </w:r>
      <w:r w:rsidRPr="003D6955">
        <w:rPr>
          <w:rFonts w:ascii="Arial" w:hAnsi="Arial" w:cs="Arial"/>
        </w:rPr>
        <w:t xml:space="preserve">inance </w:t>
      </w:r>
      <w:r w:rsidR="00BA06F6">
        <w:rPr>
          <w:rFonts w:ascii="Arial" w:hAnsi="Arial" w:cs="Arial"/>
        </w:rPr>
        <w:t>T</w:t>
      </w:r>
      <w:r w:rsidRPr="003D6955">
        <w:rPr>
          <w:rFonts w:ascii="Arial" w:hAnsi="Arial" w:cs="Arial"/>
        </w:rPr>
        <w:t xml:space="preserve">eam and Energy&amp; Natural </w:t>
      </w:r>
      <w:r w:rsidR="007A10E8" w:rsidRPr="003D6955">
        <w:rPr>
          <w:rFonts w:ascii="Arial" w:hAnsi="Arial" w:cs="Arial"/>
        </w:rPr>
        <w:t>R</w:t>
      </w:r>
      <w:r w:rsidRPr="003D6955">
        <w:rPr>
          <w:rFonts w:ascii="Arial" w:hAnsi="Arial" w:cs="Arial"/>
        </w:rPr>
        <w:t>esources</w:t>
      </w:r>
      <w:r w:rsidR="007A10E8" w:rsidRPr="003D6955">
        <w:rPr>
          <w:rFonts w:ascii="Arial" w:hAnsi="Arial" w:cs="Arial"/>
        </w:rPr>
        <w:t xml:space="preserve"> (ENR)</w:t>
      </w:r>
      <w:r w:rsidRPr="003D6955">
        <w:rPr>
          <w:rFonts w:ascii="Arial" w:hAnsi="Arial" w:cs="Arial"/>
        </w:rPr>
        <w:t xml:space="preserve"> team.</w:t>
      </w:r>
      <w:r w:rsidR="007A10E8" w:rsidRPr="003D6955">
        <w:rPr>
          <w:rFonts w:ascii="Arial" w:hAnsi="Arial" w:cs="Arial"/>
        </w:rPr>
        <w:t xml:space="preserve"> This will </w:t>
      </w:r>
      <w:r w:rsidR="005853C4" w:rsidRPr="003D6955">
        <w:rPr>
          <w:rFonts w:ascii="Arial" w:hAnsi="Arial" w:cs="Arial"/>
        </w:rPr>
        <w:t xml:space="preserve">be </w:t>
      </w:r>
      <w:r w:rsidR="007A10E8" w:rsidRPr="003D6955">
        <w:rPr>
          <w:rFonts w:ascii="Arial" w:hAnsi="Arial" w:cs="Arial"/>
        </w:rPr>
        <w:t>led and initiated by the ENR team who have overall responsibility for managing the council’s energy contracts and also managing electronic billing of all energy and water bills through the Sigma energy and water billing software it employs.</w:t>
      </w:r>
    </w:p>
    <w:p w:rsidR="00A550DA" w:rsidRPr="003D6955" w:rsidRDefault="00A550DA" w:rsidP="00A550DA">
      <w:pPr>
        <w:rPr>
          <w:rFonts w:cs="Arial"/>
          <w:b/>
        </w:rPr>
      </w:pPr>
    </w:p>
    <w:p w:rsidR="00A550DA" w:rsidRPr="003D6955" w:rsidRDefault="00A550DA" w:rsidP="00A550DA">
      <w:pPr>
        <w:rPr>
          <w:rFonts w:cs="Arial"/>
          <w:b/>
        </w:rPr>
      </w:pPr>
      <w:r w:rsidRPr="003D6955">
        <w:rPr>
          <w:rFonts w:cs="Arial"/>
          <w:b/>
        </w:rPr>
        <w:t>Environmental Impact</w:t>
      </w:r>
    </w:p>
    <w:p w:rsidR="008835F8" w:rsidRDefault="00466EEA" w:rsidP="00B33158">
      <w:pPr>
        <w:pStyle w:val="Default"/>
        <w:numPr>
          <w:ilvl w:val="0"/>
          <w:numId w:val="8"/>
        </w:numPr>
        <w:rPr>
          <w:rFonts w:ascii="Arial" w:hAnsi="Arial" w:cs="Arial"/>
        </w:rPr>
      </w:pPr>
      <w:r>
        <w:rPr>
          <w:rFonts w:ascii="Arial" w:hAnsi="Arial" w:cs="Arial"/>
        </w:rPr>
        <w:t>R</w:t>
      </w:r>
      <w:r w:rsidR="008835F8" w:rsidRPr="001E035F">
        <w:rPr>
          <w:rFonts w:ascii="Arial" w:hAnsi="Arial" w:cs="Arial"/>
        </w:rPr>
        <w:t xml:space="preserve">enewable energy </w:t>
      </w:r>
      <w:r w:rsidR="00D35FFE">
        <w:rPr>
          <w:rFonts w:ascii="Arial" w:hAnsi="Arial" w:cs="Arial"/>
        </w:rPr>
        <w:t xml:space="preserve">is </w:t>
      </w:r>
      <w:r w:rsidR="008835F8" w:rsidRPr="001E035F">
        <w:rPr>
          <w:rFonts w:ascii="Arial" w:hAnsi="Arial" w:cs="Arial"/>
        </w:rPr>
        <w:t>available in the entire LASER portfolio for the flexibly purchased supplies for the duration of the new frameworks through to September 2020.</w:t>
      </w:r>
      <w:r w:rsidR="00DA607F" w:rsidRPr="001E035F">
        <w:rPr>
          <w:rFonts w:ascii="Arial" w:hAnsi="Arial" w:cs="Arial"/>
        </w:rPr>
        <w:t xml:space="preserve"> </w:t>
      </w:r>
      <w:r w:rsidR="006E3E93">
        <w:rPr>
          <w:rFonts w:ascii="Arial" w:hAnsi="Arial" w:cs="Arial"/>
        </w:rPr>
        <w:t xml:space="preserve">However, there is no guarantee of 100% availability and this would </w:t>
      </w:r>
      <w:r w:rsidR="00ED4A0A">
        <w:rPr>
          <w:rFonts w:ascii="Arial" w:hAnsi="Arial" w:cs="Arial"/>
        </w:rPr>
        <w:t xml:space="preserve">incur </w:t>
      </w:r>
      <w:r w:rsidR="006E3E93">
        <w:rPr>
          <w:rFonts w:ascii="Arial" w:hAnsi="Arial" w:cs="Arial"/>
        </w:rPr>
        <w:t xml:space="preserve">an additional cost with current indication (tbc by contract start date) to be around 0.2p per unit of energy supplied </w:t>
      </w:r>
      <w:r w:rsidR="006E3E93">
        <w:rPr>
          <w:rFonts w:ascii="Arial" w:hAnsi="Arial" w:cs="Arial"/>
        </w:rPr>
        <w:lastRenderedPageBreak/>
        <w:t xml:space="preserve">(kWh). This would equate to around £45,000 additional energy spend </w:t>
      </w:r>
      <w:r w:rsidR="000B487A">
        <w:rPr>
          <w:rFonts w:ascii="Arial" w:hAnsi="Arial" w:cs="Arial"/>
        </w:rPr>
        <w:t xml:space="preserve">per year </w:t>
      </w:r>
      <w:r w:rsidR="006E3E93">
        <w:rPr>
          <w:rFonts w:ascii="Arial" w:hAnsi="Arial" w:cs="Arial"/>
        </w:rPr>
        <w:t xml:space="preserve">on the supplies on flexible contracts. Officers will seek to maximise the proportion of fully traceable (see below) renewable energy supplies in the contract if </w:t>
      </w:r>
      <w:r w:rsidR="000B487A">
        <w:rPr>
          <w:rFonts w:ascii="Arial" w:hAnsi="Arial" w:cs="Arial"/>
        </w:rPr>
        <w:t xml:space="preserve">the utility </w:t>
      </w:r>
      <w:r w:rsidR="006E3E93">
        <w:rPr>
          <w:rFonts w:ascii="Arial" w:hAnsi="Arial" w:cs="Arial"/>
        </w:rPr>
        <w:t>budget allows</w:t>
      </w:r>
      <w:r w:rsidR="000B487A">
        <w:rPr>
          <w:rFonts w:ascii="Arial" w:hAnsi="Arial" w:cs="Arial"/>
        </w:rPr>
        <w:t>. A</w:t>
      </w:r>
      <w:r w:rsidR="002E7B99">
        <w:rPr>
          <w:rFonts w:ascii="Arial" w:hAnsi="Arial" w:cs="Arial"/>
        </w:rPr>
        <w:t>s part of the annual budget setting process the Lead Member will determine the proportion of renewable energy purchased under the contract each year in consultation with the Head of Financial Services (S151 Officer) and Director of Community Services.</w:t>
      </w:r>
    </w:p>
    <w:p w:rsidR="00F80174" w:rsidRPr="001E035F" w:rsidRDefault="00F80174" w:rsidP="00F80174">
      <w:pPr>
        <w:pStyle w:val="Default"/>
        <w:ind w:left="360"/>
        <w:rPr>
          <w:rFonts w:ascii="Arial" w:hAnsi="Arial" w:cs="Arial"/>
        </w:rPr>
      </w:pPr>
    </w:p>
    <w:p w:rsidR="00FE2BB1" w:rsidRPr="003D6955" w:rsidRDefault="00FE2BB1" w:rsidP="00B33158">
      <w:pPr>
        <w:pStyle w:val="Default"/>
        <w:numPr>
          <w:ilvl w:val="0"/>
          <w:numId w:val="8"/>
        </w:numPr>
        <w:rPr>
          <w:rFonts w:ascii="Arial" w:hAnsi="Arial" w:cs="Arial"/>
        </w:rPr>
      </w:pPr>
      <w:r w:rsidRPr="003D6955">
        <w:rPr>
          <w:rFonts w:ascii="Arial" w:hAnsi="Arial" w:cs="Arial"/>
        </w:rPr>
        <w:t>Traceability of electricity supply subject to the Climate Change Levy will be available through provision of Levy Exemption Certificates (LEC) for the supplies. This will enable renewable energy sources to be identified including a full audit trail of LECs and Renewable Energy Guarantees of Origin</w:t>
      </w:r>
      <w:r w:rsidR="00E65C90" w:rsidRPr="003D6955">
        <w:rPr>
          <w:rFonts w:ascii="Arial" w:hAnsi="Arial" w:cs="Arial"/>
        </w:rPr>
        <w:t xml:space="preserve"> </w:t>
      </w:r>
      <w:r w:rsidRPr="003D6955">
        <w:rPr>
          <w:rFonts w:ascii="Arial" w:hAnsi="Arial" w:cs="Arial"/>
        </w:rPr>
        <w:t xml:space="preserve">(REGO) certificates. This will be beneficial for providing greater transparency for OCCs Carbon and </w:t>
      </w:r>
      <w:r w:rsidR="00742ABF" w:rsidRPr="003D6955">
        <w:rPr>
          <w:rFonts w:ascii="Arial" w:hAnsi="Arial" w:cs="Arial"/>
        </w:rPr>
        <w:t>S</w:t>
      </w:r>
      <w:r w:rsidRPr="003D6955">
        <w:rPr>
          <w:rFonts w:ascii="Arial" w:hAnsi="Arial" w:cs="Arial"/>
        </w:rPr>
        <w:t>ustainability reporting</w:t>
      </w:r>
      <w:r w:rsidR="00E65C90" w:rsidRPr="003D6955">
        <w:rPr>
          <w:rFonts w:ascii="Arial" w:hAnsi="Arial" w:cs="Arial"/>
        </w:rPr>
        <w:t xml:space="preserve"> as well as backing the Council’s aspirations around energy and carbon emission reduction</w:t>
      </w:r>
      <w:r w:rsidRPr="003D6955">
        <w:rPr>
          <w:rFonts w:ascii="Arial" w:hAnsi="Arial" w:cs="Arial"/>
        </w:rPr>
        <w:t>.</w:t>
      </w:r>
    </w:p>
    <w:p w:rsidR="00EA4695" w:rsidRPr="003D6955" w:rsidRDefault="00EA4695" w:rsidP="00EA4695">
      <w:pPr>
        <w:pStyle w:val="Default"/>
        <w:ind w:left="644"/>
        <w:rPr>
          <w:rFonts w:ascii="Arial" w:hAnsi="Arial" w:cs="Arial"/>
        </w:rPr>
      </w:pPr>
    </w:p>
    <w:p w:rsidR="00A550DA" w:rsidRPr="003D6955" w:rsidRDefault="00A550DA" w:rsidP="00B33158">
      <w:pPr>
        <w:pStyle w:val="Default"/>
        <w:numPr>
          <w:ilvl w:val="0"/>
          <w:numId w:val="8"/>
        </w:numPr>
        <w:rPr>
          <w:rFonts w:ascii="Arial" w:hAnsi="Arial" w:cs="Arial"/>
          <w:b/>
        </w:rPr>
      </w:pPr>
      <w:r w:rsidRPr="003D6955">
        <w:rPr>
          <w:rFonts w:ascii="Arial" w:hAnsi="Arial" w:cs="Arial"/>
        </w:rPr>
        <w:t>The greenest sources of energy will be sourced where viable</w:t>
      </w:r>
      <w:r w:rsidR="008835F8">
        <w:rPr>
          <w:rFonts w:ascii="Arial" w:hAnsi="Arial" w:cs="Arial"/>
        </w:rPr>
        <w:t xml:space="preserve"> for the quarterly supplies on the fixed term fixed price contracts</w:t>
      </w:r>
      <w:r w:rsidRPr="003D6955">
        <w:rPr>
          <w:rFonts w:ascii="Arial" w:hAnsi="Arial" w:cs="Arial"/>
        </w:rPr>
        <w:t xml:space="preserve"> -</w:t>
      </w:r>
      <w:r w:rsidR="00003044" w:rsidRPr="003D6955">
        <w:rPr>
          <w:rFonts w:ascii="Arial" w:hAnsi="Arial" w:cs="Arial"/>
        </w:rPr>
        <w:t xml:space="preserve"> </w:t>
      </w:r>
      <w:r w:rsidRPr="003D6955">
        <w:rPr>
          <w:rFonts w:ascii="Arial" w:hAnsi="Arial" w:cs="Arial"/>
        </w:rPr>
        <w:t>and if no more than 2% above the cost of conventional supplies - with full traceability of supply requested.</w:t>
      </w:r>
      <w:r w:rsidR="004B276E">
        <w:rPr>
          <w:rFonts w:ascii="Arial" w:hAnsi="Arial" w:cs="Arial"/>
        </w:rPr>
        <w:t xml:space="preserve"> </w:t>
      </w:r>
    </w:p>
    <w:p w:rsidR="00EA4695" w:rsidRPr="003D6955" w:rsidRDefault="00EA4695" w:rsidP="00EA4695">
      <w:pPr>
        <w:pStyle w:val="Default"/>
        <w:ind w:left="644"/>
        <w:rPr>
          <w:rFonts w:ascii="Arial" w:hAnsi="Arial" w:cs="Arial"/>
          <w:b/>
        </w:rPr>
      </w:pPr>
    </w:p>
    <w:p w:rsidR="00190E47" w:rsidRPr="003D6955" w:rsidRDefault="00190E47" w:rsidP="00B33158">
      <w:pPr>
        <w:pStyle w:val="Default"/>
        <w:numPr>
          <w:ilvl w:val="0"/>
          <w:numId w:val="8"/>
        </w:numPr>
        <w:rPr>
          <w:rFonts w:ascii="Arial" w:hAnsi="Arial" w:cs="Arial"/>
          <w:b/>
        </w:rPr>
      </w:pPr>
      <w:r w:rsidRPr="003D6955">
        <w:rPr>
          <w:rFonts w:ascii="Arial" w:hAnsi="Arial" w:cs="Arial"/>
        </w:rPr>
        <w:t>Demand side management options will also be available to explore as a contract option via LASER with the potential ability to receive a cost reduction or cash payment in return for being able to</w:t>
      </w:r>
      <w:r w:rsidR="00E5650B" w:rsidRPr="003D6955">
        <w:rPr>
          <w:rFonts w:ascii="Arial" w:hAnsi="Arial" w:cs="Arial"/>
        </w:rPr>
        <w:t xml:space="preserve"> curtail energy us</w:t>
      </w:r>
      <w:r w:rsidRPr="003D6955">
        <w:rPr>
          <w:rFonts w:ascii="Arial" w:hAnsi="Arial" w:cs="Arial"/>
        </w:rPr>
        <w:t>age at short notice</w:t>
      </w:r>
      <w:r w:rsidR="005E1816">
        <w:rPr>
          <w:rFonts w:ascii="Arial" w:hAnsi="Arial" w:cs="Arial"/>
        </w:rPr>
        <w:t xml:space="preserve"> in the Council’s buildings or other energy consuming sites</w:t>
      </w:r>
      <w:r w:rsidRPr="003D6955">
        <w:rPr>
          <w:rFonts w:ascii="Arial" w:hAnsi="Arial" w:cs="Arial"/>
        </w:rPr>
        <w:t>. This will be of increasing benefit over the years as non-commodity price elements of energy bills continue to increase (and overshadow wholesale energy prices)</w:t>
      </w:r>
      <w:r w:rsidR="005853C4" w:rsidRPr="003D6955">
        <w:rPr>
          <w:rFonts w:ascii="Arial" w:hAnsi="Arial" w:cs="Arial"/>
        </w:rPr>
        <w:t xml:space="preserve"> and again provide increasing flexibility over conventional energy contracts. It will also provide for greater integration of the Councils’ energy/carbon management and energy procurement strategies – an increasing trend in the current energy market.</w:t>
      </w:r>
    </w:p>
    <w:p w:rsidR="00A550DA" w:rsidRPr="003D6955" w:rsidRDefault="00A550DA" w:rsidP="00A550DA">
      <w:pPr>
        <w:pStyle w:val="Default"/>
        <w:ind w:left="644"/>
        <w:rPr>
          <w:rFonts w:ascii="Arial" w:hAnsi="Arial" w:cs="Arial"/>
          <w:b/>
        </w:rPr>
      </w:pPr>
    </w:p>
    <w:p w:rsidR="00A550DA" w:rsidRPr="003D6955" w:rsidRDefault="00A550DA" w:rsidP="00A550DA">
      <w:pPr>
        <w:pStyle w:val="Default"/>
        <w:rPr>
          <w:rFonts w:ascii="Arial" w:hAnsi="Arial" w:cs="Arial"/>
          <w:b/>
        </w:rPr>
      </w:pPr>
      <w:r w:rsidRPr="003D6955">
        <w:rPr>
          <w:rFonts w:ascii="Arial" w:hAnsi="Arial" w:cs="Arial"/>
          <w:b/>
        </w:rPr>
        <w:t>Risk register</w:t>
      </w:r>
    </w:p>
    <w:p w:rsidR="00A550DA" w:rsidRPr="003D6955" w:rsidRDefault="00A550DA" w:rsidP="00B33158">
      <w:pPr>
        <w:pStyle w:val="Default"/>
        <w:numPr>
          <w:ilvl w:val="0"/>
          <w:numId w:val="8"/>
        </w:numPr>
        <w:rPr>
          <w:rFonts w:ascii="Arial" w:hAnsi="Arial" w:cs="Arial"/>
        </w:rPr>
      </w:pPr>
      <w:r w:rsidRPr="003D6955">
        <w:rPr>
          <w:rFonts w:ascii="Arial" w:hAnsi="Arial" w:cs="Arial"/>
        </w:rPr>
        <w:t>A ri</w:t>
      </w:r>
      <w:r w:rsidR="007B6E54" w:rsidRPr="003D6955">
        <w:rPr>
          <w:rFonts w:ascii="Arial" w:hAnsi="Arial" w:cs="Arial"/>
        </w:rPr>
        <w:t xml:space="preserve">sk register </w:t>
      </w:r>
      <w:r w:rsidR="00084CF6" w:rsidRPr="003D6955">
        <w:rPr>
          <w:rFonts w:ascii="Arial" w:hAnsi="Arial" w:cs="Arial"/>
        </w:rPr>
        <w:t>is</w:t>
      </w:r>
      <w:r w:rsidR="00084CF6" w:rsidRPr="003D6955">
        <w:rPr>
          <w:rFonts w:ascii="Arial" w:hAnsi="Arial" w:cs="Arial"/>
          <w:b/>
        </w:rPr>
        <w:t xml:space="preserve"> </w:t>
      </w:r>
      <w:r w:rsidR="007B6E54" w:rsidRPr="003D6955">
        <w:rPr>
          <w:rFonts w:ascii="Arial" w:hAnsi="Arial" w:cs="Arial"/>
        </w:rPr>
        <w:t xml:space="preserve">appended </w:t>
      </w:r>
      <w:r w:rsidR="00084CF6" w:rsidRPr="003D6955">
        <w:rPr>
          <w:rFonts w:ascii="Arial" w:hAnsi="Arial" w:cs="Arial"/>
        </w:rPr>
        <w:t>with this</w:t>
      </w:r>
      <w:r w:rsidR="007B6E54" w:rsidRPr="003D6955">
        <w:rPr>
          <w:rFonts w:ascii="Arial" w:hAnsi="Arial" w:cs="Arial"/>
        </w:rPr>
        <w:t xml:space="preserve"> report</w:t>
      </w:r>
      <w:r w:rsidR="00084CF6" w:rsidRPr="003D6955">
        <w:rPr>
          <w:rFonts w:ascii="Arial" w:hAnsi="Arial" w:cs="Arial"/>
        </w:rPr>
        <w:t xml:space="preserve">. </w:t>
      </w:r>
      <w:r w:rsidRPr="003D6955">
        <w:rPr>
          <w:rFonts w:ascii="Arial" w:hAnsi="Arial" w:cs="Arial"/>
        </w:rPr>
        <w:t xml:space="preserve">Using a PBO to procure the Energy contracts is a recommended best practice approach in the increasingly volatile </w:t>
      </w:r>
      <w:r w:rsidR="00E65C90" w:rsidRPr="003D6955">
        <w:rPr>
          <w:rFonts w:ascii="Arial" w:hAnsi="Arial" w:cs="Arial"/>
        </w:rPr>
        <w:t xml:space="preserve">and complex </w:t>
      </w:r>
      <w:r w:rsidRPr="003D6955">
        <w:rPr>
          <w:rFonts w:ascii="Arial" w:hAnsi="Arial" w:cs="Arial"/>
        </w:rPr>
        <w:t>energy sector. Purch</w:t>
      </w:r>
      <w:r w:rsidR="00343E8D" w:rsidRPr="003D6955">
        <w:rPr>
          <w:rFonts w:ascii="Arial" w:hAnsi="Arial" w:cs="Arial"/>
        </w:rPr>
        <w:t>a</w:t>
      </w:r>
      <w:r w:rsidRPr="003D6955">
        <w:rPr>
          <w:rFonts w:ascii="Arial" w:hAnsi="Arial" w:cs="Arial"/>
        </w:rPr>
        <w:t>sing energy on flexible contracts through a PBO is also an aggregated, flexible and risk-managed way of securing energy contracts as recommended by the Pan-Government Energy Project.</w:t>
      </w:r>
    </w:p>
    <w:p w:rsidR="00A550DA" w:rsidRPr="003D6955" w:rsidRDefault="00A550DA" w:rsidP="00A550DA">
      <w:pPr>
        <w:pStyle w:val="Default"/>
        <w:ind w:left="644"/>
        <w:rPr>
          <w:rFonts w:ascii="Arial" w:hAnsi="Arial" w:cs="Arial"/>
        </w:rPr>
      </w:pPr>
    </w:p>
    <w:p w:rsidR="00A550DA" w:rsidRPr="003D6955" w:rsidRDefault="00084CF6" w:rsidP="00B33158">
      <w:pPr>
        <w:pStyle w:val="Default"/>
        <w:numPr>
          <w:ilvl w:val="0"/>
          <w:numId w:val="8"/>
        </w:numPr>
        <w:rPr>
          <w:rFonts w:ascii="Arial" w:hAnsi="Arial" w:cs="Arial"/>
          <w:i/>
        </w:rPr>
      </w:pPr>
      <w:r w:rsidRPr="003D6955">
        <w:rPr>
          <w:rFonts w:ascii="Arial" w:hAnsi="Arial" w:cs="Arial"/>
        </w:rPr>
        <w:t>The highest risk to the council is t</w:t>
      </w:r>
      <w:r w:rsidR="00A550DA" w:rsidRPr="003D6955">
        <w:rPr>
          <w:rFonts w:ascii="Arial" w:hAnsi="Arial" w:cs="Arial"/>
        </w:rPr>
        <w:t>o not have energy contracts in place and slip in to deemed/out of contract rates for its energy supplies which are significantly more expensive than contracted rates (of the order of 50% or higher compared to arranged contract rates)</w:t>
      </w:r>
      <w:r w:rsidR="00343E8D" w:rsidRPr="003D6955">
        <w:rPr>
          <w:rFonts w:ascii="Arial" w:hAnsi="Arial" w:cs="Arial"/>
        </w:rPr>
        <w:t>. The purpose of securing contracts through a PBO is to avoid this happening and also to give the best chance of securing most competitive energy (and water) contract prices.</w:t>
      </w:r>
    </w:p>
    <w:p w:rsidR="00A550DA" w:rsidRPr="003D6955" w:rsidRDefault="00A550DA" w:rsidP="00A550DA">
      <w:pPr>
        <w:pStyle w:val="Default"/>
        <w:ind w:left="720"/>
        <w:rPr>
          <w:rFonts w:ascii="Arial" w:hAnsi="Arial" w:cs="Arial"/>
          <w:i/>
        </w:rPr>
      </w:pPr>
    </w:p>
    <w:p w:rsidR="00A550DA" w:rsidRPr="003D6955" w:rsidRDefault="00A550DA" w:rsidP="00A550DA">
      <w:pPr>
        <w:pStyle w:val="Default"/>
        <w:rPr>
          <w:rFonts w:ascii="Arial" w:hAnsi="Arial" w:cs="Arial"/>
          <w:i/>
        </w:rPr>
      </w:pPr>
      <w:r w:rsidRPr="003D6955">
        <w:rPr>
          <w:rFonts w:ascii="Arial" w:hAnsi="Arial" w:cs="Arial"/>
          <w:b/>
        </w:rPr>
        <w:t>Equalities Impact</w:t>
      </w:r>
    </w:p>
    <w:p w:rsidR="00084CF6" w:rsidRDefault="00084CF6" w:rsidP="00B33158">
      <w:pPr>
        <w:pStyle w:val="Default"/>
        <w:numPr>
          <w:ilvl w:val="0"/>
          <w:numId w:val="8"/>
        </w:numPr>
        <w:rPr>
          <w:rFonts w:ascii="Arial" w:hAnsi="Arial" w:cs="Arial"/>
        </w:rPr>
      </w:pPr>
      <w:r w:rsidRPr="003D6955">
        <w:rPr>
          <w:rFonts w:ascii="Arial" w:hAnsi="Arial" w:cs="Arial"/>
        </w:rPr>
        <w:t>There are no equalities impact issues with this decision</w:t>
      </w:r>
      <w:r w:rsidR="00434E77" w:rsidRPr="003D6955">
        <w:rPr>
          <w:rFonts w:ascii="Arial" w:hAnsi="Arial" w:cs="Arial"/>
        </w:rPr>
        <w:t>.</w:t>
      </w:r>
    </w:p>
    <w:p w:rsidR="00D95F05" w:rsidRPr="003D6955" w:rsidRDefault="00D95F05" w:rsidP="00D95F05">
      <w:pPr>
        <w:pStyle w:val="Default"/>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r w:rsidR="003A2B76">
              <w:rPr>
                <w:b/>
                <w:bCs/>
              </w:rPr>
              <w:t>s</w:t>
            </w:r>
            <w:r>
              <w:rPr>
                <w:b/>
                <w:bCs/>
              </w:rPr>
              <w:t>:-</w:t>
            </w:r>
          </w:p>
        </w:tc>
      </w:tr>
      <w:tr w:rsidR="00713675">
        <w:tc>
          <w:tcPr>
            <w:tcW w:w="8522" w:type="dxa"/>
          </w:tcPr>
          <w:p w:rsidR="00713675" w:rsidRDefault="00713675" w:rsidP="003A2B76">
            <w:pPr>
              <w:tabs>
                <w:tab w:val="left" w:pos="720"/>
                <w:tab w:val="left" w:pos="1440"/>
                <w:tab w:val="left" w:pos="2160"/>
                <w:tab w:val="left" w:pos="2880"/>
              </w:tabs>
            </w:pPr>
            <w:r>
              <w:t>Name</w:t>
            </w:r>
            <w:r w:rsidR="003A2B76">
              <w:t xml:space="preserve"> Paul Spencer / Nicky Atkin</w:t>
            </w:r>
          </w:p>
        </w:tc>
      </w:tr>
      <w:tr w:rsidR="00713675">
        <w:tc>
          <w:tcPr>
            <w:tcW w:w="8522" w:type="dxa"/>
          </w:tcPr>
          <w:p w:rsidR="00713675" w:rsidRDefault="00713675" w:rsidP="003A2B76">
            <w:pPr>
              <w:tabs>
                <w:tab w:val="left" w:pos="720"/>
                <w:tab w:val="left" w:pos="1440"/>
                <w:tab w:val="left" w:pos="2160"/>
                <w:tab w:val="left" w:pos="2880"/>
              </w:tabs>
            </w:pPr>
            <w:r>
              <w:t>Job title</w:t>
            </w:r>
            <w:r w:rsidR="003A2B76">
              <w:t xml:space="preserve">: Energy&amp; Carbon Manager/ Contracts and Procurement Specialist </w:t>
            </w:r>
          </w:p>
        </w:tc>
      </w:tr>
      <w:tr w:rsidR="00713675">
        <w:tc>
          <w:tcPr>
            <w:tcW w:w="8522" w:type="dxa"/>
          </w:tcPr>
          <w:p w:rsidR="00713675" w:rsidRDefault="003A2B76" w:rsidP="003A2B76">
            <w:pPr>
              <w:tabs>
                <w:tab w:val="left" w:pos="720"/>
                <w:tab w:val="left" w:pos="1440"/>
                <w:tab w:val="left" w:pos="2160"/>
                <w:tab w:val="left" w:pos="2880"/>
              </w:tabs>
            </w:pPr>
            <w:r>
              <w:t>Environmental Sustainability/Financial Services</w:t>
            </w:r>
            <w:r w:rsidR="00D95F05">
              <w:t>.</w:t>
            </w:r>
          </w:p>
        </w:tc>
      </w:tr>
      <w:tr w:rsidR="00713675">
        <w:tc>
          <w:tcPr>
            <w:tcW w:w="8522" w:type="dxa"/>
          </w:tcPr>
          <w:p w:rsidR="000C7B44" w:rsidRDefault="00713675" w:rsidP="00D95F05">
            <w:pPr>
              <w:tabs>
                <w:tab w:val="left" w:pos="720"/>
                <w:tab w:val="left" w:pos="1440"/>
                <w:tab w:val="left" w:pos="2160"/>
                <w:tab w:val="left" w:pos="2880"/>
              </w:tabs>
              <w:rPr>
                <w:color w:val="0000FF"/>
                <w:u w:val="single"/>
              </w:rPr>
            </w:pPr>
            <w:r>
              <w:t xml:space="preserve">Tel:  01865 </w:t>
            </w:r>
            <w:r w:rsidR="003A2B76">
              <w:t>252238</w:t>
            </w:r>
            <w:r>
              <w:t xml:space="preserve">  e-mail: </w:t>
            </w:r>
            <w:r w:rsidR="003A2B76">
              <w:t>pspencer@oxford.gov.uk/</w:t>
            </w:r>
            <w:r>
              <w:t xml:space="preserve"> </w:t>
            </w:r>
            <w:r w:rsidR="003A2B76">
              <w:t>01865 252778 e-mail:natkin@oxford.gov.uk</w:t>
            </w:r>
          </w:p>
        </w:tc>
      </w:tr>
    </w:tbl>
    <w:p w:rsidR="00466EEA" w:rsidRDefault="00466EEA">
      <w:pPr>
        <w:rPr>
          <w:rFonts w:cs="Arial"/>
          <w:b/>
          <w:bCs/>
        </w:rPr>
      </w:pPr>
    </w:p>
    <w:p w:rsidR="00466EEA" w:rsidRDefault="00466EEA">
      <w:pPr>
        <w:rPr>
          <w:rFonts w:cs="Arial"/>
          <w:b/>
          <w:bCs/>
        </w:rPr>
      </w:pPr>
    </w:p>
    <w:p w:rsidR="00623C2F" w:rsidRDefault="00F4367A">
      <w:pPr>
        <w:rPr>
          <w:rFonts w:cs="Arial"/>
          <w:bCs/>
        </w:rPr>
      </w:pPr>
      <w:r>
        <w:rPr>
          <w:rFonts w:cs="Arial"/>
          <w:b/>
          <w:bCs/>
        </w:rPr>
        <w:t xml:space="preserve">List of background papers: </w:t>
      </w:r>
    </w:p>
    <w:p w:rsidR="00724A47" w:rsidRDefault="00E65C90">
      <w:pPr>
        <w:rPr>
          <w:rFonts w:cs="Arial"/>
          <w:bCs/>
          <w:i/>
        </w:rPr>
      </w:pPr>
      <w:r>
        <w:rPr>
          <w:rFonts w:cs="Arial"/>
          <w:bCs/>
        </w:rPr>
        <w:t xml:space="preserve">Energy Procurement </w:t>
      </w:r>
      <w:r w:rsidR="006220F3">
        <w:rPr>
          <w:rFonts w:cs="Arial"/>
          <w:bCs/>
        </w:rPr>
        <w:t>S</w:t>
      </w:r>
      <w:r>
        <w:rPr>
          <w:rFonts w:cs="Arial"/>
          <w:bCs/>
        </w:rPr>
        <w:t>trategy</w:t>
      </w:r>
      <w:r w:rsidR="006220F3">
        <w:rPr>
          <w:rFonts w:cs="Arial"/>
          <w:bCs/>
        </w:rPr>
        <w:t xml:space="preserve">, Oxford City Council </w:t>
      </w:r>
    </w:p>
    <w:sectPr w:rsidR="00724A47">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0C" w:rsidRDefault="005A330C">
      <w:r>
        <w:separator/>
      </w:r>
    </w:p>
  </w:endnote>
  <w:endnote w:type="continuationSeparator" w:id="0">
    <w:p w:rsidR="005A330C" w:rsidRDefault="005A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0C" w:rsidRDefault="005A330C">
      <w:r>
        <w:separator/>
      </w:r>
    </w:p>
  </w:footnote>
  <w:footnote w:type="continuationSeparator" w:id="0">
    <w:p w:rsidR="005A330C" w:rsidRDefault="005A330C">
      <w:r>
        <w:continuationSeparator/>
      </w:r>
    </w:p>
  </w:footnote>
  <w:footnote w:id="1">
    <w:p w:rsidR="00D90C37" w:rsidRDefault="00D90C37">
      <w:pPr>
        <w:pStyle w:val="FootnoteText"/>
      </w:pPr>
      <w:r>
        <w:rPr>
          <w:rStyle w:val="FootnoteReference"/>
        </w:rPr>
        <w:footnoteRef/>
      </w:r>
      <w:r>
        <w:t xml:space="preserve"> </w:t>
      </w:r>
      <w:r>
        <w:rPr>
          <w:color w:val="000000"/>
        </w:rPr>
        <w:t xml:space="preserve">LASER is </w:t>
      </w:r>
      <w:r w:rsidRPr="003816CE">
        <w:rPr>
          <w:color w:val="000000"/>
        </w:rPr>
        <w:t>a Kent County Council trading arm</w:t>
      </w:r>
      <w:r>
        <w:rPr>
          <w:color w:val="000000"/>
        </w:rPr>
        <w:t>.</w:t>
      </w:r>
    </w:p>
  </w:footnote>
  <w:footnote w:id="2">
    <w:p w:rsidR="004F000B" w:rsidRDefault="004F000B">
      <w:pPr>
        <w:pStyle w:val="FootnoteText"/>
      </w:pPr>
      <w:r>
        <w:rPr>
          <w:rStyle w:val="FootnoteReference"/>
        </w:rPr>
        <w:footnoteRef/>
      </w:r>
      <w:r>
        <w:t xml:space="preserve"> Value for Money Assessment by the London Energy Partnership,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621"/>
    <w:multiLevelType w:val="hybridMultilevel"/>
    <w:tmpl w:val="B0EAA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80076"/>
    <w:multiLevelType w:val="hybridMultilevel"/>
    <w:tmpl w:val="BCB63714"/>
    <w:lvl w:ilvl="0" w:tplc="ADFC40F0">
      <w:start w:val="1"/>
      <w:numFmt w:val="bullet"/>
      <w:lvlText w:val=""/>
      <w:lvlJc w:val="left"/>
      <w:pPr>
        <w:tabs>
          <w:tab w:val="num" w:pos="1788"/>
        </w:tabs>
        <w:ind w:left="1788" w:hanging="360"/>
      </w:pPr>
      <w:rPr>
        <w:rFonts w:ascii="Wingdings" w:hAnsi="Wingdings"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
    <w:nsid w:val="0A342D96"/>
    <w:multiLevelType w:val="hybridMultilevel"/>
    <w:tmpl w:val="809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50014"/>
    <w:multiLevelType w:val="hybridMultilevel"/>
    <w:tmpl w:val="F5CAF656"/>
    <w:lvl w:ilvl="0" w:tplc="CA3E6AB8">
      <w:start w:val="1"/>
      <w:numFmt w:val="decimal"/>
      <w:lvlText w:val="%1."/>
      <w:lvlJc w:val="left"/>
      <w:pPr>
        <w:ind w:left="644"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4707A"/>
    <w:multiLevelType w:val="hybridMultilevel"/>
    <w:tmpl w:val="8F56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E029A"/>
    <w:multiLevelType w:val="hybridMultilevel"/>
    <w:tmpl w:val="95F2EF80"/>
    <w:lvl w:ilvl="0" w:tplc="F51246B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19D31B4"/>
    <w:multiLevelType w:val="hybridMultilevel"/>
    <w:tmpl w:val="FF784A2A"/>
    <w:lvl w:ilvl="0" w:tplc="ADFC40F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21D7B2F"/>
    <w:multiLevelType w:val="hybridMultilevel"/>
    <w:tmpl w:val="22907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74948EA"/>
    <w:multiLevelType w:val="hybridMultilevel"/>
    <w:tmpl w:val="8C7E4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942170"/>
    <w:multiLevelType w:val="hybridMultilevel"/>
    <w:tmpl w:val="EDA43842"/>
    <w:lvl w:ilvl="0" w:tplc="BA980F8E">
      <w:start w:val="1"/>
      <w:numFmt w:val="decimal"/>
      <w:lvlText w:val="%1."/>
      <w:lvlJc w:val="left"/>
      <w:pPr>
        <w:ind w:left="644"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813188"/>
    <w:multiLevelType w:val="hybridMultilevel"/>
    <w:tmpl w:val="BB6CB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4F2D41"/>
    <w:multiLevelType w:val="hybridMultilevel"/>
    <w:tmpl w:val="AC3AB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63EAD"/>
    <w:multiLevelType w:val="hybridMultilevel"/>
    <w:tmpl w:val="4DAAD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543ED"/>
    <w:multiLevelType w:val="hybridMultilevel"/>
    <w:tmpl w:val="4EAE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221CBF"/>
    <w:multiLevelType w:val="hybridMultilevel"/>
    <w:tmpl w:val="DF52F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40A8A"/>
    <w:multiLevelType w:val="hybridMultilevel"/>
    <w:tmpl w:val="2EBC5E9A"/>
    <w:lvl w:ilvl="0" w:tplc="AA38D9E4">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834637"/>
    <w:multiLevelType w:val="hybridMultilevel"/>
    <w:tmpl w:val="9DC2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407865"/>
    <w:multiLevelType w:val="hybridMultilevel"/>
    <w:tmpl w:val="F96E9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F7229A"/>
    <w:multiLevelType w:val="hybridMultilevel"/>
    <w:tmpl w:val="1B5014AA"/>
    <w:lvl w:ilvl="0" w:tplc="5FBAFEC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311252"/>
    <w:multiLevelType w:val="hybridMultilevel"/>
    <w:tmpl w:val="06CAB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7859D6"/>
    <w:multiLevelType w:val="hybridMultilevel"/>
    <w:tmpl w:val="E4F2D8C0"/>
    <w:lvl w:ilvl="0" w:tplc="BA980F8E">
      <w:start w:val="1"/>
      <w:numFmt w:val="decimal"/>
      <w:lvlText w:val="%1."/>
      <w:lvlJc w:val="left"/>
      <w:pPr>
        <w:ind w:left="644"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486FA3"/>
    <w:multiLevelType w:val="hybridMultilevel"/>
    <w:tmpl w:val="CD500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8B3C53"/>
    <w:multiLevelType w:val="hybridMultilevel"/>
    <w:tmpl w:val="DC72A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9268A"/>
    <w:multiLevelType w:val="hybridMultilevel"/>
    <w:tmpl w:val="3BB29B10"/>
    <w:lvl w:ilvl="0" w:tplc="5FBAFEC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7"/>
  </w:num>
  <w:num w:numId="5">
    <w:abstractNumId w:val="22"/>
  </w:num>
  <w:num w:numId="6">
    <w:abstractNumId w:val="1"/>
  </w:num>
  <w:num w:numId="7">
    <w:abstractNumId w:val="6"/>
  </w:num>
  <w:num w:numId="8">
    <w:abstractNumId w:val="9"/>
  </w:num>
  <w:num w:numId="9">
    <w:abstractNumId w:val="4"/>
  </w:num>
  <w:num w:numId="10">
    <w:abstractNumId w:val="8"/>
  </w:num>
  <w:num w:numId="11">
    <w:abstractNumId w:val="14"/>
  </w:num>
  <w:num w:numId="12">
    <w:abstractNumId w:val="7"/>
  </w:num>
  <w:num w:numId="13">
    <w:abstractNumId w:val="11"/>
  </w:num>
  <w:num w:numId="14">
    <w:abstractNumId w:val="23"/>
  </w:num>
  <w:num w:numId="15">
    <w:abstractNumId w:val="18"/>
  </w:num>
  <w:num w:numId="16">
    <w:abstractNumId w:val="10"/>
  </w:num>
  <w:num w:numId="17">
    <w:abstractNumId w:val="19"/>
  </w:num>
  <w:num w:numId="18">
    <w:abstractNumId w:val="24"/>
  </w:num>
  <w:num w:numId="19">
    <w:abstractNumId w:val="3"/>
  </w:num>
  <w:num w:numId="20">
    <w:abstractNumId w:val="21"/>
  </w:num>
  <w:num w:numId="21">
    <w:abstractNumId w:val="5"/>
  </w:num>
  <w:num w:numId="22">
    <w:abstractNumId w:val="16"/>
  </w:num>
  <w:num w:numId="23">
    <w:abstractNumId w:val="15"/>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044"/>
    <w:rsid w:val="00006104"/>
    <w:rsid w:val="000174C1"/>
    <w:rsid w:val="00056263"/>
    <w:rsid w:val="0006620F"/>
    <w:rsid w:val="00084CF6"/>
    <w:rsid w:val="000B24F8"/>
    <w:rsid w:val="000B487A"/>
    <w:rsid w:val="000C2BEC"/>
    <w:rsid w:val="000C3928"/>
    <w:rsid w:val="000C7B44"/>
    <w:rsid w:val="000D6D27"/>
    <w:rsid w:val="00104A06"/>
    <w:rsid w:val="00122D2F"/>
    <w:rsid w:val="00142633"/>
    <w:rsid w:val="00162F9D"/>
    <w:rsid w:val="00190E47"/>
    <w:rsid w:val="00192EBF"/>
    <w:rsid w:val="001A6A55"/>
    <w:rsid w:val="001B015F"/>
    <w:rsid w:val="001D1003"/>
    <w:rsid w:val="001E035F"/>
    <w:rsid w:val="00220019"/>
    <w:rsid w:val="002243B3"/>
    <w:rsid w:val="00241CED"/>
    <w:rsid w:val="00244F35"/>
    <w:rsid w:val="00252378"/>
    <w:rsid w:val="00254BA9"/>
    <w:rsid w:val="002628FC"/>
    <w:rsid w:val="0028485D"/>
    <w:rsid w:val="002B21DD"/>
    <w:rsid w:val="002E7B99"/>
    <w:rsid w:val="00313CBB"/>
    <w:rsid w:val="00321D3C"/>
    <w:rsid w:val="003279AF"/>
    <w:rsid w:val="003304E6"/>
    <w:rsid w:val="003376A0"/>
    <w:rsid w:val="00343E8D"/>
    <w:rsid w:val="00362FD1"/>
    <w:rsid w:val="003816CE"/>
    <w:rsid w:val="00394E77"/>
    <w:rsid w:val="003A2B76"/>
    <w:rsid w:val="003C47FF"/>
    <w:rsid w:val="003D3D5F"/>
    <w:rsid w:val="003D6955"/>
    <w:rsid w:val="003D7861"/>
    <w:rsid w:val="0042602E"/>
    <w:rsid w:val="00434E77"/>
    <w:rsid w:val="00452393"/>
    <w:rsid w:val="00462C9B"/>
    <w:rsid w:val="00465EAF"/>
    <w:rsid w:val="00466EEA"/>
    <w:rsid w:val="004703D0"/>
    <w:rsid w:val="004865C6"/>
    <w:rsid w:val="004A50CF"/>
    <w:rsid w:val="004B276E"/>
    <w:rsid w:val="004B4A27"/>
    <w:rsid w:val="004B68F8"/>
    <w:rsid w:val="004D45E9"/>
    <w:rsid w:val="004F000B"/>
    <w:rsid w:val="0051489B"/>
    <w:rsid w:val="0052634D"/>
    <w:rsid w:val="0052781F"/>
    <w:rsid w:val="00535775"/>
    <w:rsid w:val="00561AC0"/>
    <w:rsid w:val="005853C4"/>
    <w:rsid w:val="00592D48"/>
    <w:rsid w:val="005A0960"/>
    <w:rsid w:val="005A330C"/>
    <w:rsid w:val="005E10BF"/>
    <w:rsid w:val="005E1816"/>
    <w:rsid w:val="005E342C"/>
    <w:rsid w:val="00606146"/>
    <w:rsid w:val="00620164"/>
    <w:rsid w:val="006220F3"/>
    <w:rsid w:val="00623C2F"/>
    <w:rsid w:val="00636776"/>
    <w:rsid w:val="0065403A"/>
    <w:rsid w:val="0067713D"/>
    <w:rsid w:val="006B2D6C"/>
    <w:rsid w:val="006B48EB"/>
    <w:rsid w:val="006B7165"/>
    <w:rsid w:val="006C7096"/>
    <w:rsid w:val="006E3B55"/>
    <w:rsid w:val="006E3E93"/>
    <w:rsid w:val="006F416B"/>
    <w:rsid w:val="00713675"/>
    <w:rsid w:val="00724A47"/>
    <w:rsid w:val="00735A4F"/>
    <w:rsid w:val="00742ABF"/>
    <w:rsid w:val="007459D8"/>
    <w:rsid w:val="00745F55"/>
    <w:rsid w:val="00753399"/>
    <w:rsid w:val="007A10E8"/>
    <w:rsid w:val="007B034E"/>
    <w:rsid w:val="007B0425"/>
    <w:rsid w:val="007B6E54"/>
    <w:rsid w:val="007C0F5E"/>
    <w:rsid w:val="00843E5E"/>
    <w:rsid w:val="00855C66"/>
    <w:rsid w:val="008835F8"/>
    <w:rsid w:val="008A5DE8"/>
    <w:rsid w:val="008A7F86"/>
    <w:rsid w:val="008B793D"/>
    <w:rsid w:val="008D3DDB"/>
    <w:rsid w:val="008E6CB0"/>
    <w:rsid w:val="008F3E48"/>
    <w:rsid w:val="008F58C7"/>
    <w:rsid w:val="00930CF9"/>
    <w:rsid w:val="00946A18"/>
    <w:rsid w:val="00971689"/>
    <w:rsid w:val="009716E3"/>
    <w:rsid w:val="00973E90"/>
    <w:rsid w:val="009A0C4D"/>
    <w:rsid w:val="009C1BAE"/>
    <w:rsid w:val="009D179E"/>
    <w:rsid w:val="009D643B"/>
    <w:rsid w:val="009E5651"/>
    <w:rsid w:val="00A05D13"/>
    <w:rsid w:val="00A05DBB"/>
    <w:rsid w:val="00A445C2"/>
    <w:rsid w:val="00A50E6D"/>
    <w:rsid w:val="00A516B3"/>
    <w:rsid w:val="00A550DA"/>
    <w:rsid w:val="00A8602F"/>
    <w:rsid w:val="00A92D8F"/>
    <w:rsid w:val="00AA3B1A"/>
    <w:rsid w:val="00AA6B7C"/>
    <w:rsid w:val="00AD3292"/>
    <w:rsid w:val="00AE5AB8"/>
    <w:rsid w:val="00AF2CDE"/>
    <w:rsid w:val="00B269D1"/>
    <w:rsid w:val="00B33158"/>
    <w:rsid w:val="00B60565"/>
    <w:rsid w:val="00BA06F6"/>
    <w:rsid w:val="00BD4C87"/>
    <w:rsid w:val="00BE7CE5"/>
    <w:rsid w:val="00C07649"/>
    <w:rsid w:val="00C1766C"/>
    <w:rsid w:val="00C2692F"/>
    <w:rsid w:val="00C37F26"/>
    <w:rsid w:val="00C56064"/>
    <w:rsid w:val="00C570D7"/>
    <w:rsid w:val="00C620AD"/>
    <w:rsid w:val="00CB28CC"/>
    <w:rsid w:val="00CC2958"/>
    <w:rsid w:val="00CC3662"/>
    <w:rsid w:val="00CE0C42"/>
    <w:rsid w:val="00D1108A"/>
    <w:rsid w:val="00D128DC"/>
    <w:rsid w:val="00D35FFE"/>
    <w:rsid w:val="00D47E52"/>
    <w:rsid w:val="00D6250C"/>
    <w:rsid w:val="00D90C37"/>
    <w:rsid w:val="00D926C6"/>
    <w:rsid w:val="00D95F05"/>
    <w:rsid w:val="00DA607F"/>
    <w:rsid w:val="00DF0E00"/>
    <w:rsid w:val="00DF771F"/>
    <w:rsid w:val="00E01F42"/>
    <w:rsid w:val="00E35B7C"/>
    <w:rsid w:val="00E5650B"/>
    <w:rsid w:val="00E63C9C"/>
    <w:rsid w:val="00E65C90"/>
    <w:rsid w:val="00E712BA"/>
    <w:rsid w:val="00E71B6A"/>
    <w:rsid w:val="00EA0DB1"/>
    <w:rsid w:val="00EA2FDD"/>
    <w:rsid w:val="00EA4695"/>
    <w:rsid w:val="00EB3154"/>
    <w:rsid w:val="00EB5B62"/>
    <w:rsid w:val="00EB78D8"/>
    <w:rsid w:val="00EC7B5C"/>
    <w:rsid w:val="00ED4A0A"/>
    <w:rsid w:val="00EE039A"/>
    <w:rsid w:val="00EF672F"/>
    <w:rsid w:val="00F31660"/>
    <w:rsid w:val="00F3451C"/>
    <w:rsid w:val="00F4367A"/>
    <w:rsid w:val="00F5103B"/>
    <w:rsid w:val="00F5106E"/>
    <w:rsid w:val="00F54396"/>
    <w:rsid w:val="00F67D4F"/>
    <w:rsid w:val="00F7606D"/>
    <w:rsid w:val="00F80174"/>
    <w:rsid w:val="00FA624C"/>
    <w:rsid w:val="00FD34CA"/>
    <w:rsid w:val="00FE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B2D6C"/>
    <w:pPr>
      <w:ind w:left="720"/>
      <w:contextualSpacing/>
    </w:pPr>
  </w:style>
  <w:style w:type="paragraph" w:customStyle="1" w:styleId="Style1">
    <w:name w:val="Style1"/>
    <w:basedOn w:val="TOC1"/>
    <w:rsid w:val="00EE039A"/>
    <w:pPr>
      <w:tabs>
        <w:tab w:val="left" w:pos="709"/>
        <w:tab w:val="right" w:leader="dot" w:pos="9072"/>
      </w:tabs>
      <w:overflowPunct w:val="0"/>
      <w:autoSpaceDE w:val="0"/>
      <w:autoSpaceDN w:val="0"/>
      <w:adjustRightInd w:val="0"/>
      <w:spacing w:after="0" w:line="480" w:lineRule="auto"/>
      <w:textAlignment w:val="baseline"/>
    </w:pPr>
    <w:rPr>
      <w:szCs w:val="20"/>
    </w:rPr>
  </w:style>
  <w:style w:type="paragraph" w:styleId="TOC1">
    <w:name w:val="toc 1"/>
    <w:basedOn w:val="Normal"/>
    <w:next w:val="Normal"/>
    <w:autoRedefine/>
    <w:rsid w:val="00EE039A"/>
    <w:pPr>
      <w:spacing w:after="100"/>
    </w:pPr>
  </w:style>
  <w:style w:type="character" w:customStyle="1" w:styleId="CommentTextChar">
    <w:name w:val="Comment Text Char"/>
    <w:basedOn w:val="DefaultParagraphFont"/>
    <w:link w:val="CommentText"/>
    <w:uiPriority w:val="99"/>
    <w:semiHidden/>
    <w:rsid w:val="00C1766C"/>
    <w:rPr>
      <w:rFonts w:ascii="Arial" w:hAnsi="Arial"/>
      <w:lang w:eastAsia="en-US"/>
    </w:rPr>
  </w:style>
  <w:style w:type="paragraph" w:customStyle="1" w:styleId="Default">
    <w:name w:val="Default"/>
    <w:rsid w:val="003D3D5F"/>
    <w:pPr>
      <w:autoSpaceDE w:val="0"/>
      <w:autoSpaceDN w:val="0"/>
      <w:adjustRightInd w:val="0"/>
    </w:pPr>
    <w:rPr>
      <w:rFonts w:ascii="Tahoma" w:eastAsiaTheme="minorHAnsi" w:hAnsi="Tahoma" w:cs="Tahoma"/>
      <w:color w:val="000000"/>
      <w:sz w:val="24"/>
      <w:szCs w:val="24"/>
      <w:lang w:eastAsia="en-US"/>
    </w:rPr>
  </w:style>
  <w:style w:type="table" w:styleId="TableGrid">
    <w:name w:val="Table Grid"/>
    <w:basedOn w:val="TableNormal"/>
    <w:rsid w:val="00A0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90C37"/>
    <w:rPr>
      <w:sz w:val="20"/>
      <w:szCs w:val="20"/>
    </w:rPr>
  </w:style>
  <w:style w:type="character" w:customStyle="1" w:styleId="FootnoteTextChar">
    <w:name w:val="Footnote Text Char"/>
    <w:basedOn w:val="DefaultParagraphFont"/>
    <w:link w:val="FootnoteText"/>
    <w:rsid w:val="00D90C37"/>
    <w:rPr>
      <w:rFonts w:ascii="Arial" w:hAnsi="Arial"/>
      <w:lang w:eastAsia="en-US"/>
    </w:rPr>
  </w:style>
  <w:style w:type="character" w:styleId="FootnoteReference">
    <w:name w:val="footnote reference"/>
    <w:basedOn w:val="DefaultParagraphFont"/>
    <w:rsid w:val="00D90C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B2D6C"/>
    <w:pPr>
      <w:ind w:left="720"/>
      <w:contextualSpacing/>
    </w:pPr>
  </w:style>
  <w:style w:type="paragraph" w:customStyle="1" w:styleId="Style1">
    <w:name w:val="Style1"/>
    <w:basedOn w:val="TOC1"/>
    <w:rsid w:val="00EE039A"/>
    <w:pPr>
      <w:tabs>
        <w:tab w:val="left" w:pos="709"/>
        <w:tab w:val="right" w:leader="dot" w:pos="9072"/>
      </w:tabs>
      <w:overflowPunct w:val="0"/>
      <w:autoSpaceDE w:val="0"/>
      <w:autoSpaceDN w:val="0"/>
      <w:adjustRightInd w:val="0"/>
      <w:spacing w:after="0" w:line="480" w:lineRule="auto"/>
      <w:textAlignment w:val="baseline"/>
    </w:pPr>
    <w:rPr>
      <w:szCs w:val="20"/>
    </w:rPr>
  </w:style>
  <w:style w:type="paragraph" w:styleId="TOC1">
    <w:name w:val="toc 1"/>
    <w:basedOn w:val="Normal"/>
    <w:next w:val="Normal"/>
    <w:autoRedefine/>
    <w:rsid w:val="00EE039A"/>
    <w:pPr>
      <w:spacing w:after="100"/>
    </w:pPr>
  </w:style>
  <w:style w:type="character" w:customStyle="1" w:styleId="CommentTextChar">
    <w:name w:val="Comment Text Char"/>
    <w:basedOn w:val="DefaultParagraphFont"/>
    <w:link w:val="CommentText"/>
    <w:uiPriority w:val="99"/>
    <w:semiHidden/>
    <w:rsid w:val="00C1766C"/>
    <w:rPr>
      <w:rFonts w:ascii="Arial" w:hAnsi="Arial"/>
      <w:lang w:eastAsia="en-US"/>
    </w:rPr>
  </w:style>
  <w:style w:type="paragraph" w:customStyle="1" w:styleId="Default">
    <w:name w:val="Default"/>
    <w:rsid w:val="003D3D5F"/>
    <w:pPr>
      <w:autoSpaceDE w:val="0"/>
      <w:autoSpaceDN w:val="0"/>
      <w:adjustRightInd w:val="0"/>
    </w:pPr>
    <w:rPr>
      <w:rFonts w:ascii="Tahoma" w:eastAsiaTheme="minorHAnsi" w:hAnsi="Tahoma" w:cs="Tahoma"/>
      <w:color w:val="000000"/>
      <w:sz w:val="24"/>
      <w:szCs w:val="24"/>
      <w:lang w:eastAsia="en-US"/>
    </w:rPr>
  </w:style>
  <w:style w:type="table" w:styleId="TableGrid">
    <w:name w:val="Table Grid"/>
    <w:basedOn w:val="TableNormal"/>
    <w:rsid w:val="00A0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90C37"/>
    <w:rPr>
      <w:sz w:val="20"/>
      <w:szCs w:val="20"/>
    </w:rPr>
  </w:style>
  <w:style w:type="character" w:customStyle="1" w:styleId="FootnoteTextChar">
    <w:name w:val="Footnote Text Char"/>
    <w:basedOn w:val="DefaultParagraphFont"/>
    <w:link w:val="FootnoteText"/>
    <w:rsid w:val="00D90C37"/>
    <w:rPr>
      <w:rFonts w:ascii="Arial" w:hAnsi="Arial"/>
      <w:lang w:eastAsia="en-US"/>
    </w:rPr>
  </w:style>
  <w:style w:type="character" w:styleId="FootnoteReference">
    <w:name w:val="footnote reference"/>
    <w:basedOn w:val="DefaultParagraphFont"/>
    <w:rsid w:val="00D90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5493">
      <w:bodyDiv w:val="1"/>
      <w:marLeft w:val="0"/>
      <w:marRight w:val="0"/>
      <w:marTop w:val="0"/>
      <w:marBottom w:val="0"/>
      <w:divBdr>
        <w:top w:val="none" w:sz="0" w:space="0" w:color="auto"/>
        <w:left w:val="none" w:sz="0" w:space="0" w:color="auto"/>
        <w:bottom w:val="none" w:sz="0" w:space="0" w:color="auto"/>
        <w:right w:val="none" w:sz="0" w:space="0" w:color="auto"/>
      </w:divBdr>
    </w:div>
    <w:div w:id="9227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6B0C-3CA6-421F-B3FC-F4A89120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8FCAE292</Template>
  <TotalTime>142</TotalTime>
  <Pages>8</Pages>
  <Words>2467</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9</cp:revision>
  <cp:lastPrinted>2010-10-15T09:32:00Z</cp:lastPrinted>
  <dcterms:created xsi:type="dcterms:W3CDTF">2016-01-14T14:22:00Z</dcterms:created>
  <dcterms:modified xsi:type="dcterms:W3CDTF">2016-02-01T11:34:00Z</dcterms:modified>
</cp:coreProperties>
</file>